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wordWrap/>
        <w:overflowPunct/>
        <w:topLinePunct w:val="0"/>
        <w:autoSpaceDE/>
        <w:autoSpaceDN/>
        <w:bidi w:val="0"/>
        <w:adjustRightInd/>
        <w:snapToGrid/>
        <w:spacing w:before="0" w:after="0" w:line="600" w:lineRule="exact"/>
        <w:jc w:val="center"/>
        <w:rPr>
          <w:rFonts w:ascii="宋体" w:hAnsi="宋体" w:eastAsia="宋体" w:cs="宋体"/>
          <w:sz w:val="44"/>
          <w:szCs w:val="44"/>
        </w:rPr>
      </w:pPr>
      <w:r>
        <w:rPr>
          <w:rFonts w:hint="eastAsia" w:ascii="宋体" w:hAnsi="宋体" w:eastAsia="宋体" w:cs="宋体"/>
          <w:sz w:val="44"/>
          <w:szCs w:val="44"/>
        </w:rPr>
        <w:t>大连梭鱼湾商务区开发建设有限责任公司</w:t>
      </w:r>
    </w:p>
    <w:p>
      <w:pPr>
        <w:pStyle w:val="3"/>
        <w:pageBreakBefore w:val="0"/>
        <w:kinsoku/>
        <w:wordWrap/>
        <w:overflowPunct/>
        <w:topLinePunct w:val="0"/>
        <w:autoSpaceDE/>
        <w:autoSpaceDN/>
        <w:bidi w:val="0"/>
        <w:adjustRightInd/>
        <w:snapToGrid/>
        <w:spacing w:before="0" w:after="0" w:line="600" w:lineRule="exact"/>
        <w:jc w:val="center"/>
        <w:rPr>
          <w:rFonts w:ascii="宋体" w:hAnsi="宋体" w:eastAsia="宋体" w:cs="宋体"/>
          <w:sz w:val="44"/>
          <w:szCs w:val="44"/>
        </w:rPr>
      </w:pPr>
      <w:r>
        <w:rPr>
          <w:rFonts w:hint="eastAsia" w:ascii="宋体" w:hAnsi="宋体" w:eastAsia="宋体" w:cs="宋体"/>
          <w:sz w:val="44"/>
          <w:szCs w:val="44"/>
        </w:rPr>
        <w:t>20</w:t>
      </w:r>
      <w:r>
        <w:rPr>
          <w:rFonts w:ascii="宋体" w:hAnsi="宋体" w:eastAsia="宋体" w:cs="宋体"/>
          <w:sz w:val="44"/>
          <w:szCs w:val="44"/>
        </w:rPr>
        <w:t>21</w:t>
      </w:r>
      <w:r>
        <w:rPr>
          <w:rFonts w:hint="eastAsia" w:ascii="宋体" w:hAnsi="宋体" w:eastAsia="宋体" w:cs="宋体"/>
          <w:sz w:val="44"/>
          <w:szCs w:val="44"/>
        </w:rPr>
        <w:t>年述职报告</w:t>
      </w:r>
    </w:p>
    <w:p>
      <w:pPr>
        <w:pageBreakBefore w:val="0"/>
        <w:kinsoku/>
        <w:wordWrap/>
        <w:overflowPunct/>
        <w:topLinePunct w:val="0"/>
        <w:autoSpaceDE/>
        <w:autoSpaceDN/>
        <w:bidi w:val="0"/>
        <w:adjustRightInd/>
        <w:snapToGrid/>
        <w:spacing w:line="600" w:lineRule="exact"/>
      </w:pPr>
    </w:p>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r>
        <w:rPr>
          <w:rFonts w:hint="eastAsia" w:ascii="仿宋" w:hAnsi="仿宋" w:eastAsia="仿宋" w:cs="仿宋"/>
          <w:sz w:val="32"/>
          <w:szCs w:val="32"/>
        </w:rPr>
        <w:t>大连市土地发展集团有限公司：</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w:t>
      </w:r>
      <w:r>
        <w:rPr>
          <w:rFonts w:ascii="仿宋" w:hAnsi="仿宋" w:eastAsia="仿宋" w:cs="仿宋"/>
          <w:sz w:val="32"/>
          <w:szCs w:val="32"/>
        </w:rPr>
        <w:t>21</w:t>
      </w:r>
      <w:r>
        <w:rPr>
          <w:rFonts w:hint="eastAsia" w:ascii="仿宋" w:hAnsi="仿宋" w:eastAsia="仿宋" w:cs="仿宋"/>
          <w:sz w:val="32"/>
          <w:szCs w:val="32"/>
        </w:rPr>
        <w:t>年，梭鱼湾公司在土地发展集团党委的带领下，紧紧围绕土地发展集团战略定位，配合集团公司的各项工作部署，积极主动的开展各项业务工作工作。围绕公司“一点、一线、一面”核心业务。党建方面，梭鱼湾支部积极开展“两学一做”、“三会一课”以及专题学习教育活动。梭鱼湾公司在继续重点加强梭鱼湾商务区域内场地看护、工程管理及移交工作的同时，积极创新、勇于探索，大力推进自身经营业务，开展了承揽建筑项目施工、商务区内大物业管理、污染土治理机械设备租赁等业务，并取得了一定的经营业绩，力争完成全年生产经营指标，进一步夯实经营业务拓展工作基础。</w:t>
      </w:r>
    </w:p>
    <w:p>
      <w:pPr>
        <w:pageBreakBefore w:val="0"/>
        <w:kinsoku/>
        <w:wordWrap/>
        <w:overflowPunct/>
        <w:topLinePunct w:val="0"/>
        <w:autoSpaceDE/>
        <w:autoSpaceDN/>
        <w:bidi w:val="0"/>
        <w:adjustRightInd/>
        <w:snapToGrid/>
        <w:spacing w:line="60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rPr>
        <w:t>一、党建工作</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2021年伊始，梭鱼湾党支部以习近平新时代中国特色社会主义思想为指导，认真学习十九大五中全会精神，牢固树立“四个意识”，坚持“四个自信”，坚决做到“两个维护”，自觉在思想上、政治上、行动上同党中央保持高度一致。支部根据土地发展集团总支部委的工作部署，积极落实“两学一做”学习教育和党史教育，积极开展党务活动。</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梭鱼湾支部把土发集团党总支制定的“两学一做”季度学习教育安排以及党史学习教育工作作为支部党建日常管理来抓。</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1.严格执行学习计划</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针对梭鱼湾公司支部党员结构复杂，党员比较分散的情况，支部结合公司项目建设实际，想尽办法全力克服困难，精心组织策划，按时足量完成集团总支下达的学习计划。上半年支部党小组学习20余次，通过学习促使每名党员深刻领会“四个意识”、“两学一做”内涵、践行合格党员标准、深刻领会所学精神实质。  </w:t>
      </w:r>
    </w:p>
    <w:p>
      <w:pPr>
        <w:pageBreakBefore w:val="0"/>
        <w:tabs>
          <w:tab w:val="left" w:pos="1003"/>
        </w:tabs>
        <w:kinsoku/>
        <w:wordWrap/>
        <w:overflowPunct/>
        <w:topLinePunct w:val="0"/>
        <w:autoSpaceDE/>
        <w:autoSpaceDN/>
        <w:bidi w:val="0"/>
        <w:adjustRightInd/>
        <w:snapToGrid/>
        <w:spacing w:line="600" w:lineRule="exact"/>
        <w:ind w:firstLine="640" w:firstLineChars="200"/>
        <w:rPr>
          <w:rFonts w:ascii="楷体" w:hAnsi="楷体" w:eastAsia="楷体" w:cs="楷体"/>
          <w:b/>
          <w:bCs/>
          <w:sz w:val="32"/>
          <w:szCs w:val="32"/>
        </w:rPr>
      </w:pPr>
      <w:r>
        <w:rPr>
          <w:rFonts w:hint="eastAsia" w:ascii="楷体" w:hAnsi="楷体" w:eastAsia="楷体" w:cs="楷体"/>
          <w:sz w:val="32"/>
          <w:szCs w:val="32"/>
        </w:rPr>
        <w:t>2.落实“三会一课”制度</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在学习形式上，通过集中学习、党员研读、观看视频资料、案例解析、个人自学等多种形式，进行交流，提高意识。梭鱼湾支部结合公司实际情况提前做出安排并第一时间通知支部党员，学习时间、学习形式、学习内容、学习要求等，努力协调每名支部党员的学习时间使学习制度坚决贯彻执行，从而提高党员学习效率，保证学习到位率。</w:t>
      </w:r>
    </w:p>
    <w:p>
      <w:pPr>
        <w:pageBreakBefore w:val="0"/>
        <w:tabs>
          <w:tab w:val="left" w:pos="1003"/>
        </w:tabs>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3.充分利用网络</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通过“梭鱼湾支部”微信群，将中央、国资委、集团公司等关于精神，迅速传达及时推送。通过网络落实党务人员培训工作，每周参与测试并及时上报总支；坚持每日转发推送“党史百年.天天读”，学史明理、学史增信、学史崇德、学史力行。                            </w:t>
      </w:r>
    </w:p>
    <w:p>
      <w:pPr>
        <w:pageBreakBefore w:val="0"/>
        <w:tabs>
          <w:tab w:val="left" w:pos="1003"/>
        </w:tabs>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4.开展“主题党课”活动</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根据集团总支季度学习计划安排，围绕庆祝中国共产党成立100周年，集团机关支部、梭鱼湾支部、足球场项目支部联合联合开展党课活动。梭鱼湾副书记吕永升讲授题为《中国共产党的光辉历程》的党课。乌审旗党小组由书记王宏量讲授党课。党课回顾了中国共产党的光辉历程，一部中国共产党的奋斗史，让我们广大党员认识到了新事物发展之初的艰难和星星之火可以燎原的强大生命力。</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5.积极开展廉政工作</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按照集团总支有关廉洁自律相关工作要求，梭鱼湾支部针对项目建设的特点，针对性地开展廉政监督工作，落实《两审两监督》的规定。①开展</w:t>
      </w:r>
      <w:r>
        <w:rPr>
          <w:rFonts w:hint="eastAsia" w:ascii="仿宋" w:hAnsi="仿宋" w:eastAsia="仿宋" w:cs="仿宋"/>
          <w:kern w:val="0"/>
          <w:sz w:val="32"/>
          <w:szCs w:val="32"/>
          <w:lang w:bidi="ar"/>
        </w:rPr>
        <w:t>一对一廉政谈话。</w:t>
      </w:r>
      <w:r>
        <w:rPr>
          <w:rFonts w:hint="eastAsia" w:ascii="仿宋" w:hAnsi="仿宋" w:eastAsia="仿宋" w:cs="仿宋"/>
          <w:sz w:val="32"/>
          <w:szCs w:val="32"/>
        </w:rPr>
        <w:t>支部</w:t>
      </w:r>
      <w:r>
        <w:rPr>
          <w:rFonts w:hint="eastAsia" w:ascii="仿宋" w:hAnsi="仿宋" w:eastAsia="仿宋" w:cs="仿宋"/>
          <w:kern w:val="0"/>
          <w:sz w:val="32"/>
          <w:szCs w:val="32"/>
          <w:lang w:bidi="ar"/>
        </w:rPr>
        <w:t>组织部门负责人进行一对一廉政警示谈话。特别是对项目上的党员和负责人</w:t>
      </w:r>
      <w:r>
        <w:rPr>
          <w:rFonts w:hint="eastAsia" w:ascii="仿宋" w:hAnsi="仿宋" w:eastAsia="仿宋" w:cs="仿宋"/>
          <w:sz w:val="32"/>
          <w:szCs w:val="32"/>
        </w:rPr>
        <w:t>，提出了相应的要求，首先在思想上要对廉洁防范工作予以高度的重视，要严格遵守中央的八项规定；要对照自己的工作，时时警惕、防微杜渐；树立正确的价值观。在要招标、合同、等关键节点上要有制度支撑，做到有法可依、有章可循，同时要强化外部监督。②开展警示教育活动。</w:t>
      </w:r>
      <w:r>
        <w:rPr>
          <w:rFonts w:hint="eastAsia" w:ascii="仿宋" w:hAnsi="仿宋" w:eastAsia="仿宋" w:cs="仿宋"/>
          <w:kern w:val="0"/>
          <w:sz w:val="32"/>
          <w:szCs w:val="32"/>
          <w:lang w:bidi="ar"/>
        </w:rPr>
        <w:t>组织支部党员和部门负责人，观看警示教育纪录片唤醒党员尤其是管理领导干部的规矩和底线意识。从而实现自我净化、自我完善、自我革新、自我提高。③节前廉政提醒，做到常敲纪律警钟。节假日前及时转发《国资委两节期间党风廉政提醒》以及土地发展集团节假日期间廉洁过节的警示通知，要求党员干部要高度重视党风廉政建设,自觉树好形象、当好表率,经受住节日“廉关”的考验。</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6.积极开展党史教育</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梭鱼湾党支部与专业足球场党支部联合开展党史学习教育活动。梭鱼湾支部把开展好党史学习教育作为当前和今后一个时期的首要政治任务，按照集团总支部署要求，落实学习教育安排。</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梭鱼湾支部结合企业和项目部的工作实际，坚持把党史学习纳入到日常党员教育，结合“三会一课”、主题党日等形式，加强党员对党史的理解，从而抓牢抓实党员思想教育。同时支部扩大党史学习覆盖范围坚持把入党积极分子和入党申请人纳入到学习范围内，定期组织开展党史教育活动，引领青年以史为镜，激发青年员工的爱国、爱党、爱企的热情。</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支部通过书记讲党史党课、集体讲读、网络视频、党史知识答题、党史知识小视频、摄影、书画、歌唱比赛等形式加强学习深度和广度。</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7.落实“项目部一线党旗红”</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梭鱼湾党支部将不断发挥党建引领作用，真正落实“项目部一线党旗红”，主要领导挂帅，组织项目专班，靠前指挥，压实领导责任，支部书记王宏量和副书记吕永升，亲临项目一线指挥践行红色头雁精神压实领导责任,强化领导干部领头雁作用，深入项目工程施工现场指导工作为支部党员树立了榜样，保障了各项目建设顺利进行。</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8.落实“三重一大”制度</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为充分发挥集体领导的核心作用，根据《关于贯彻落实“三重一大”决策事项情况工作的通知》要求，梭鱼湾党支部全面落实从严治党主体责任，坚持集体议事决策和民主集中制，不断强化内部监督，为公司健康发展提供了有力保障。</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梭鱼湾支部将把“三重一大”工作贯穿于我公司重点管理和重点项目之中，使之科学化、民主化、制度化，坚持按照集体领导、民主集中、个别酝酿、会议决定的原则，凡属公司范围内的重大决策、干部调任奖励和大额度资金使用，必须经过集体讨论决定，保证党的路线方针政策和决议得到正确的贯彻和执行。</w:t>
      </w: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二、廉洁自律方面</w:t>
      </w:r>
    </w:p>
    <w:p>
      <w:pPr>
        <w:pageBreakBefore w:val="0"/>
        <w:kinsoku/>
        <w:wordWrap/>
        <w:overflowPunct/>
        <w:topLinePunct w:val="0"/>
        <w:autoSpaceDE/>
        <w:autoSpaceDN/>
        <w:bidi w:val="0"/>
        <w:adjustRightInd/>
        <w:snapToGrid/>
        <w:spacing w:line="600" w:lineRule="exact"/>
        <w:ind w:firstLine="640"/>
        <w:rPr>
          <w:rFonts w:ascii="仿宋" w:hAnsi="仿宋" w:eastAsia="仿宋" w:cs="仿宋"/>
          <w:sz w:val="32"/>
          <w:szCs w:val="32"/>
        </w:rPr>
      </w:pPr>
      <w:r>
        <w:rPr>
          <w:rFonts w:hint="eastAsia" w:ascii="仿宋" w:hAnsi="仿宋" w:eastAsia="仿宋" w:cs="仿宋"/>
          <w:sz w:val="32"/>
          <w:szCs w:val="32"/>
        </w:rPr>
        <w:t>梭鱼湾公司领导班子深入组织学习党的十九大对加强党风廉政建设和反腐败工作的重要论述，学习习近平总书记关于从严治党的重要论述，牢固树立“四个意识”，准确把握目标任务，明确职责定位，强化监督执纪问责，围绕严肃党内政治生活，充分发挥党内监督专责机关作用，锲而不舍落实中央八项规定精神，由浅入深、由易到难，抓铁有痕、踏石留印，经常抓、抓经常，释放执纪必严强烈信号，扎紧制度笼子，构建长效机制，把纠正“四风”的要求融入新形势下党内政治生活若干准则、廉洁自律准则，引导党员领导干部树立良好道德风尚和家风，以优良党风带动公司风气。工作时严格要求自己，以身作则，将廉洁自律落到实处。同时，按照集团总支有关廉洁自律相关工作要求，根据项目建设的特点，针对性地开展廉政监督工作，落实《两审两监督》的规定。</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1.开展</w:t>
      </w:r>
      <w:r>
        <w:rPr>
          <w:rFonts w:hint="eastAsia" w:ascii="仿宋" w:hAnsi="仿宋" w:eastAsia="仿宋" w:cs="仿宋"/>
          <w:kern w:val="0"/>
          <w:sz w:val="32"/>
          <w:szCs w:val="32"/>
          <w:lang w:bidi="ar"/>
        </w:rPr>
        <w:t>一对一廉政谈话。组织</w:t>
      </w:r>
      <w:r>
        <w:rPr>
          <w:rFonts w:hint="eastAsia" w:ascii="仿宋" w:hAnsi="仿宋" w:eastAsia="仿宋" w:cs="仿宋"/>
          <w:sz w:val="32"/>
          <w:szCs w:val="32"/>
        </w:rPr>
        <w:t>支部</w:t>
      </w:r>
      <w:r>
        <w:rPr>
          <w:rFonts w:hint="eastAsia" w:ascii="仿宋" w:hAnsi="仿宋" w:eastAsia="仿宋" w:cs="仿宋"/>
          <w:kern w:val="0"/>
          <w:sz w:val="32"/>
          <w:szCs w:val="32"/>
          <w:lang w:bidi="ar"/>
        </w:rPr>
        <w:t>对各部门负责人进行一对一廉政警示谈话。特别是对支援项目上的党员和负责人</w:t>
      </w:r>
      <w:r>
        <w:rPr>
          <w:rFonts w:hint="eastAsia" w:ascii="仿宋" w:hAnsi="仿宋" w:eastAsia="仿宋" w:cs="仿宋"/>
          <w:sz w:val="32"/>
          <w:szCs w:val="32"/>
        </w:rPr>
        <w:t>，提出了相应的要求，首先在思想上要对廉洁防范工作予以高度的重视，要严格遵守中央的八项规定；要对照自己的工作，时时警惕、防微杜渐；树立正确的价值观。在要招标、合同、等关键节点上要有制度支撑，做到有法可依、有章可循，同时要强化外部监督。</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kern w:val="0"/>
          <w:sz w:val="32"/>
          <w:szCs w:val="32"/>
          <w:lang w:bidi="ar"/>
        </w:rPr>
      </w:pPr>
      <w:r>
        <w:rPr>
          <w:rFonts w:hint="eastAsia" w:ascii="仿宋" w:hAnsi="仿宋" w:eastAsia="仿宋" w:cs="仿宋"/>
          <w:sz w:val="32"/>
          <w:szCs w:val="32"/>
        </w:rPr>
        <w:t>2.开展警示教育活动。</w:t>
      </w:r>
      <w:r>
        <w:rPr>
          <w:rFonts w:hint="eastAsia" w:ascii="仿宋" w:hAnsi="仿宋" w:eastAsia="仿宋" w:cs="仿宋"/>
          <w:kern w:val="0"/>
          <w:sz w:val="32"/>
          <w:szCs w:val="32"/>
          <w:lang w:bidi="ar"/>
        </w:rPr>
        <w:t>组织支部党员和部门负责人观看警示教育纪录片唤醒党员尤其是管理领导干部的规矩和底线意识。从而实现自我净化、自我完善、自我革新、自我提高。</w:t>
      </w:r>
    </w:p>
    <w:p>
      <w:pPr>
        <w:pageBreakBefore w:val="0"/>
        <w:kinsoku/>
        <w:wordWrap/>
        <w:overflowPunct/>
        <w:topLinePunct w:val="0"/>
        <w:autoSpaceDE/>
        <w:autoSpaceDN/>
        <w:bidi w:val="0"/>
        <w:adjustRightInd/>
        <w:snapToGrid/>
        <w:spacing w:line="600" w:lineRule="exact"/>
        <w:ind w:firstLine="640" w:firstLineChars="200"/>
        <w:rPr>
          <w:rFonts w:hint="eastAsia" w:ascii="仿宋" w:hAnsi="仿宋" w:eastAsia="仿宋" w:cs="仿宋"/>
          <w:kern w:val="0"/>
          <w:sz w:val="32"/>
          <w:szCs w:val="32"/>
          <w:lang w:bidi="ar"/>
        </w:rPr>
      </w:pPr>
      <w:r>
        <w:rPr>
          <w:rFonts w:ascii="仿宋" w:hAnsi="仿宋" w:eastAsia="仿宋" w:cs="仿宋"/>
          <w:kern w:val="0"/>
          <w:sz w:val="32"/>
          <w:szCs w:val="32"/>
          <w:lang w:bidi="ar"/>
        </w:rPr>
        <w:t>3</w:t>
      </w:r>
      <w:r>
        <w:rPr>
          <w:rFonts w:hint="eastAsia" w:ascii="仿宋" w:hAnsi="仿宋" w:eastAsia="仿宋" w:cs="仿宋"/>
          <w:kern w:val="0"/>
          <w:sz w:val="32"/>
          <w:szCs w:val="32"/>
          <w:lang w:bidi="ar"/>
        </w:rPr>
        <w:t>.节前廉政提醒，做到常敲纪律警钟。节假日前及时转发《国资委两节期间党风廉政提醒》以及土地发展集团节假日期间廉洁过节的警示通知，要求党员干部要高度重视党风廉政建设,自觉树好形象、当好表率,经受住节日“廉关”的考验。</w:t>
      </w: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三、自身建设</w:t>
      </w:r>
    </w:p>
    <w:p>
      <w:pPr>
        <w:pageBreakBefore w:val="0"/>
        <w:kinsoku/>
        <w:wordWrap/>
        <w:overflowPunct/>
        <w:topLinePunct w:val="0"/>
        <w:autoSpaceDE/>
        <w:autoSpaceDN/>
        <w:bidi w:val="0"/>
        <w:adjustRightInd/>
        <w:snapToGrid/>
        <w:spacing w:line="600" w:lineRule="exact"/>
        <w:ind w:firstLine="640"/>
        <w:rPr>
          <w:rFonts w:ascii="仿宋" w:hAnsi="仿宋" w:eastAsia="仿宋" w:cs="仿宋"/>
          <w:sz w:val="32"/>
          <w:szCs w:val="32"/>
        </w:rPr>
      </w:pPr>
      <w:r>
        <w:rPr>
          <w:rFonts w:hint="eastAsia" w:ascii="仿宋" w:hAnsi="仿宋" w:eastAsia="仿宋" w:cs="仿宋"/>
          <w:sz w:val="32"/>
          <w:szCs w:val="32"/>
        </w:rPr>
        <w:t>根据集团公司对梭鱼湾公司的战略定位和未来发展规划，结合梭鱼湾公司业务开展局面，积极开展“一点、一线、一面”经营探索，对外承揽建设工程施工项目、物业服务管理项目、工程机械设备租赁项目，并取得一定的业绩，锻炼了各方面专业人才队伍，为今后的业务开展夯实工作基础。</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ascii="楷体" w:hAnsi="楷体" w:eastAsia="楷体" w:cs="楷体"/>
          <w:sz w:val="32"/>
          <w:szCs w:val="32"/>
        </w:rPr>
        <w:t>1</w:t>
      </w:r>
      <w:r>
        <w:rPr>
          <w:rFonts w:hint="eastAsia" w:ascii="楷体" w:hAnsi="楷体" w:eastAsia="楷体" w:cs="楷体"/>
          <w:sz w:val="32"/>
          <w:szCs w:val="32"/>
        </w:rPr>
        <w:t>.继续完善公司制度建设</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黑体"/>
          <w:sz w:val="32"/>
          <w:szCs w:val="32"/>
        </w:rPr>
      </w:pPr>
      <w:r>
        <w:rPr>
          <w:rFonts w:hint="eastAsia" w:ascii="仿宋" w:hAnsi="仿宋" w:eastAsia="仿宋" w:cs="黑体"/>
          <w:sz w:val="32"/>
          <w:szCs w:val="32"/>
        </w:rPr>
        <w:t>按照“立、留、改、废”的原则，对我公司现有的规章制度性文件进行全面梳理。在对现有规章制度进行全面清理的基础上，逐年安排规章制度制定计划，根据《企业内部控制基本规范企业内部控制配套指引》及集团公司相关要求，梳理现有工作制度，新订制度</w:t>
      </w:r>
      <w:r>
        <w:rPr>
          <w:rFonts w:ascii="仿宋" w:hAnsi="仿宋" w:eastAsia="仿宋" w:cs="黑体"/>
          <w:sz w:val="32"/>
          <w:szCs w:val="32"/>
        </w:rPr>
        <w:t>2</w:t>
      </w:r>
      <w:r>
        <w:rPr>
          <w:rFonts w:hint="eastAsia" w:ascii="仿宋" w:hAnsi="仿宋" w:eastAsia="仿宋" w:cs="黑体"/>
          <w:sz w:val="32"/>
          <w:szCs w:val="32"/>
        </w:rPr>
        <w:t>项，修订制度1项。基本形成涵盖公司全面工作的规章制度框架，建成内容科学、程序严密、配置完备的规章制度体系，充分发挥有效的制约和监督，全面提升公司规范化、法治化水平。</w:t>
      </w:r>
    </w:p>
    <w:p>
      <w:pPr>
        <w:keepNext/>
        <w:keepLines/>
        <w:pageBreakBefore w:val="0"/>
        <w:kinsoku/>
        <w:wordWrap/>
        <w:overflowPunct/>
        <w:topLinePunct w:val="0"/>
        <w:autoSpaceDE/>
        <w:autoSpaceDN/>
        <w:bidi w:val="0"/>
        <w:adjustRightInd/>
        <w:snapToGrid/>
        <w:spacing w:line="600" w:lineRule="exact"/>
        <w:ind w:firstLine="640" w:firstLineChars="200"/>
        <w:outlineLvl w:val="1"/>
        <w:rPr>
          <w:rFonts w:hint="eastAsia" w:ascii="楷体" w:hAnsi="楷体" w:eastAsia="楷体" w:cs="楷体"/>
          <w:sz w:val="32"/>
          <w:szCs w:val="32"/>
        </w:rPr>
      </w:pPr>
      <w:r>
        <w:rPr>
          <w:rFonts w:hint="eastAsia" w:ascii="楷体" w:hAnsi="楷体" w:eastAsia="楷体" w:cs="楷体"/>
          <w:sz w:val="32"/>
          <w:szCs w:val="32"/>
        </w:rPr>
        <w:t>2.财务情况</w:t>
      </w:r>
    </w:p>
    <w:p>
      <w:pPr>
        <w:pageBreakBefore w:val="0"/>
        <w:widowControl/>
        <w:kinsoku/>
        <w:wordWrap/>
        <w:overflowPunct/>
        <w:topLinePunct w:val="0"/>
        <w:autoSpaceDE/>
        <w:autoSpaceDN/>
        <w:bidi w:val="0"/>
        <w:adjustRightInd/>
        <w:snapToGrid/>
        <w:spacing w:line="600" w:lineRule="exact"/>
        <w:ind w:firstLine="643" w:firstLineChars="200"/>
        <w:jc w:val="left"/>
        <w:textAlignment w:val="bottom"/>
        <w:rPr>
          <w:rFonts w:hint="eastAsia" w:ascii="仿宋" w:hAnsi="仿宋" w:eastAsia="仿宋" w:cs="仿宋"/>
          <w:b/>
          <w:bCs w:val="0"/>
          <w:color w:val="000000"/>
          <w:kern w:val="0"/>
          <w:sz w:val="22"/>
          <w:szCs w:val="22"/>
          <w:lang w:bidi="ar"/>
        </w:rPr>
      </w:pPr>
      <w:r>
        <w:rPr>
          <w:rFonts w:hint="eastAsia" w:ascii="仿宋" w:hAnsi="仿宋" w:eastAsia="仿宋" w:cs="仿宋"/>
          <w:b/>
          <w:bCs w:val="0"/>
          <w:sz w:val="32"/>
          <w:szCs w:val="32"/>
        </w:rPr>
        <w:t>(1)资产负债情况</w:t>
      </w:r>
    </w:p>
    <w:tbl>
      <w:tblPr>
        <w:tblStyle w:val="8"/>
        <w:tblW w:w="7400" w:type="dxa"/>
        <w:tblInd w:w="0" w:type="dxa"/>
        <w:tblLayout w:type="autofit"/>
        <w:tblCellMar>
          <w:top w:w="0" w:type="dxa"/>
          <w:left w:w="0" w:type="dxa"/>
          <w:bottom w:w="0" w:type="dxa"/>
          <w:right w:w="0" w:type="dxa"/>
        </w:tblCellMar>
      </w:tblPr>
      <w:tblGrid>
        <w:gridCol w:w="2560"/>
        <w:gridCol w:w="1920"/>
        <w:gridCol w:w="1780"/>
        <w:gridCol w:w="1140"/>
      </w:tblGrid>
      <w:tr>
        <w:tblPrEx>
          <w:tblCellMar>
            <w:top w:w="0" w:type="dxa"/>
            <w:left w:w="0" w:type="dxa"/>
            <w:bottom w:w="0" w:type="dxa"/>
            <w:right w:w="0" w:type="dxa"/>
          </w:tblCellMar>
        </w:tblPrEx>
        <w:trPr>
          <w:trHeight w:val="525" w:hRule="atLeast"/>
        </w:trPr>
        <w:tc>
          <w:tcPr>
            <w:tcW w:w="2560" w:type="dxa"/>
            <w:tcBorders>
              <w:top w:val="single" w:color="auto" w:sz="8" w:space="0"/>
              <w:left w:val="single" w:color="auto" w:sz="8" w:space="0"/>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资产负债要素</w:t>
            </w:r>
          </w:p>
        </w:tc>
        <w:tc>
          <w:tcPr>
            <w:tcW w:w="1920" w:type="dxa"/>
            <w:tcBorders>
              <w:top w:val="single" w:color="auto" w:sz="8" w:space="0"/>
              <w:left w:val="nil"/>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2021年初</w:t>
            </w:r>
          </w:p>
        </w:tc>
        <w:tc>
          <w:tcPr>
            <w:tcW w:w="1780" w:type="dxa"/>
            <w:tcBorders>
              <w:top w:val="single" w:color="auto" w:sz="8" w:space="0"/>
              <w:left w:val="nil"/>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2021年10月末</w:t>
            </w:r>
          </w:p>
        </w:tc>
        <w:tc>
          <w:tcPr>
            <w:tcW w:w="1140" w:type="dxa"/>
            <w:tcBorders>
              <w:top w:val="single" w:color="auto" w:sz="8" w:space="0"/>
              <w:left w:val="nil"/>
              <w:bottom w:val="single" w:color="auto" w:sz="4" w:space="0"/>
              <w:right w:val="single" w:color="auto" w:sz="8"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增长率</w:t>
            </w:r>
          </w:p>
        </w:tc>
      </w:tr>
      <w:tr>
        <w:tblPrEx>
          <w:tblCellMar>
            <w:top w:w="0" w:type="dxa"/>
            <w:left w:w="0" w:type="dxa"/>
            <w:bottom w:w="0" w:type="dxa"/>
            <w:right w:w="0" w:type="dxa"/>
          </w:tblCellMar>
        </w:tblPrEx>
        <w:trPr>
          <w:trHeight w:val="540"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流动资产</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7208万元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8683</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20%</w:t>
            </w:r>
          </w:p>
        </w:tc>
      </w:tr>
      <w:tr>
        <w:tblPrEx>
          <w:tblCellMar>
            <w:top w:w="0" w:type="dxa"/>
            <w:left w:w="0" w:type="dxa"/>
            <w:bottom w:w="0" w:type="dxa"/>
            <w:right w:w="0" w:type="dxa"/>
          </w:tblCellMar>
        </w:tblPrEx>
        <w:trPr>
          <w:trHeight w:val="540"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非流动资产</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26万元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19</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-27%</w:t>
            </w:r>
          </w:p>
        </w:tc>
      </w:tr>
      <w:tr>
        <w:tblPrEx>
          <w:tblCellMar>
            <w:top w:w="0" w:type="dxa"/>
            <w:left w:w="0" w:type="dxa"/>
            <w:bottom w:w="0" w:type="dxa"/>
            <w:right w:w="0" w:type="dxa"/>
          </w:tblCellMar>
        </w:tblPrEx>
        <w:trPr>
          <w:trHeight w:val="556"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资产总额</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7234万元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8702</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20%</w:t>
            </w:r>
          </w:p>
        </w:tc>
      </w:tr>
      <w:tr>
        <w:tblPrEx>
          <w:tblCellMar>
            <w:top w:w="0" w:type="dxa"/>
            <w:left w:w="0" w:type="dxa"/>
            <w:bottom w:w="0" w:type="dxa"/>
            <w:right w:w="0" w:type="dxa"/>
          </w:tblCellMar>
        </w:tblPrEx>
        <w:trPr>
          <w:trHeight w:val="524"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流动负债</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2496万元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4161</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67%</w:t>
            </w:r>
          </w:p>
        </w:tc>
      </w:tr>
      <w:tr>
        <w:tblPrEx>
          <w:tblCellMar>
            <w:top w:w="0" w:type="dxa"/>
            <w:left w:w="0" w:type="dxa"/>
            <w:bottom w:w="0" w:type="dxa"/>
            <w:right w:w="0" w:type="dxa"/>
          </w:tblCellMar>
        </w:tblPrEx>
        <w:trPr>
          <w:trHeight w:val="540"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负债总额</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2496万元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4161</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67%</w:t>
            </w:r>
          </w:p>
        </w:tc>
      </w:tr>
      <w:tr>
        <w:tblPrEx>
          <w:tblCellMar>
            <w:top w:w="0" w:type="dxa"/>
            <w:left w:w="0" w:type="dxa"/>
            <w:bottom w:w="0" w:type="dxa"/>
            <w:right w:w="0" w:type="dxa"/>
          </w:tblCellMar>
        </w:tblPrEx>
        <w:trPr>
          <w:trHeight w:val="540"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未分配利润</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-261万元</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-459</w:t>
            </w:r>
            <w:r>
              <w:rPr>
                <w:rFonts w:hint="eastAsia" w:ascii="仿宋" w:hAnsi="仿宋" w:eastAsia="仿宋" w:cs="仿宋"/>
                <w:color w:val="000000"/>
                <w:sz w:val="22"/>
                <w:szCs w:val="22"/>
              </w:rPr>
              <w:t>万元</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76%</w:t>
            </w:r>
          </w:p>
        </w:tc>
      </w:tr>
      <w:tr>
        <w:tblPrEx>
          <w:tblCellMar>
            <w:top w:w="0" w:type="dxa"/>
            <w:left w:w="0" w:type="dxa"/>
            <w:bottom w:w="0" w:type="dxa"/>
            <w:right w:w="0" w:type="dxa"/>
          </w:tblCellMar>
        </w:tblPrEx>
        <w:trPr>
          <w:trHeight w:val="525" w:hRule="atLeast"/>
        </w:trPr>
        <w:tc>
          <w:tcPr>
            <w:tcW w:w="0" w:type="auto"/>
            <w:tcBorders>
              <w:top w:val="nil"/>
              <w:left w:val="single" w:color="auto" w:sz="8" w:space="0"/>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所有者权益</w:t>
            </w:r>
          </w:p>
        </w:tc>
        <w:tc>
          <w:tcPr>
            <w:tcW w:w="0" w:type="auto"/>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4738万元</w:t>
            </w:r>
          </w:p>
        </w:tc>
        <w:tc>
          <w:tcPr>
            <w:tcW w:w="0" w:type="auto"/>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4541</w:t>
            </w:r>
            <w:r>
              <w:rPr>
                <w:rFonts w:hint="eastAsia" w:ascii="仿宋" w:hAnsi="仿宋" w:eastAsia="仿宋" w:cs="仿宋"/>
                <w:color w:val="000000"/>
                <w:sz w:val="22"/>
                <w:szCs w:val="22"/>
              </w:rPr>
              <w:t>万元</w:t>
            </w:r>
          </w:p>
        </w:tc>
        <w:tc>
          <w:tcPr>
            <w:tcW w:w="1140" w:type="dxa"/>
            <w:tcBorders>
              <w:top w:val="nil"/>
              <w:left w:val="nil"/>
              <w:bottom w:val="single" w:color="auto" w:sz="8"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-4%</w:t>
            </w:r>
          </w:p>
        </w:tc>
      </w:tr>
      <w:tr>
        <w:tblPrEx>
          <w:tblCellMar>
            <w:top w:w="0" w:type="dxa"/>
            <w:left w:w="0" w:type="dxa"/>
            <w:bottom w:w="0" w:type="dxa"/>
            <w:right w:w="0" w:type="dxa"/>
          </w:tblCellMar>
        </w:tblPrEx>
        <w:trPr>
          <w:trHeight w:val="525" w:hRule="atLeast"/>
        </w:trPr>
        <w:tc>
          <w:tcPr>
            <w:tcW w:w="0" w:type="auto"/>
            <w:tcBorders>
              <w:top w:val="nil"/>
              <w:left w:val="single" w:color="auto" w:sz="8" w:space="0"/>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相对指标</w:t>
            </w:r>
          </w:p>
        </w:tc>
        <w:tc>
          <w:tcPr>
            <w:tcW w:w="0" w:type="auto"/>
            <w:tcBorders>
              <w:top w:val="nil"/>
              <w:left w:val="nil"/>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2021年初</w:t>
            </w:r>
          </w:p>
        </w:tc>
        <w:tc>
          <w:tcPr>
            <w:tcW w:w="0" w:type="auto"/>
            <w:tcBorders>
              <w:top w:val="nil"/>
              <w:left w:val="nil"/>
              <w:bottom w:val="single" w:color="auto" w:sz="4" w:space="0"/>
              <w:right w:val="single" w:color="auto" w:sz="4"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2021年10月末</w:t>
            </w:r>
          </w:p>
        </w:tc>
        <w:tc>
          <w:tcPr>
            <w:tcW w:w="1140" w:type="dxa"/>
            <w:tcBorders>
              <w:top w:val="nil"/>
              <w:left w:val="nil"/>
              <w:bottom w:val="single" w:color="auto" w:sz="4" w:space="0"/>
              <w:right w:val="single" w:color="auto" w:sz="8" w:space="0"/>
            </w:tcBorders>
            <w:shd w:val="clear" w:color="000000" w:fill="C5D9F1"/>
            <w:noWrap/>
            <w:vAlign w:val="bottom"/>
          </w:tcPr>
          <w:p>
            <w:pPr>
              <w:widowControl/>
              <w:jc w:val="center"/>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增减</w:t>
            </w:r>
          </w:p>
        </w:tc>
      </w:tr>
      <w:tr>
        <w:tblPrEx>
          <w:tblCellMar>
            <w:top w:w="0" w:type="dxa"/>
            <w:left w:w="0" w:type="dxa"/>
            <w:bottom w:w="0" w:type="dxa"/>
            <w:right w:w="0" w:type="dxa"/>
          </w:tblCellMar>
        </w:tblPrEx>
        <w:trPr>
          <w:trHeight w:val="495"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资产负债率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34%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47%</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38%</w:t>
            </w:r>
          </w:p>
        </w:tc>
      </w:tr>
      <w:tr>
        <w:tblPrEx>
          <w:tblCellMar>
            <w:top w:w="0" w:type="dxa"/>
            <w:left w:w="0" w:type="dxa"/>
            <w:bottom w:w="0" w:type="dxa"/>
            <w:right w:w="0" w:type="dxa"/>
          </w:tblCellMar>
        </w:tblPrEx>
        <w:trPr>
          <w:trHeight w:val="510"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流动比率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288%</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208%</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-28%</w:t>
            </w:r>
          </w:p>
        </w:tc>
      </w:tr>
      <w:tr>
        <w:tblPrEx>
          <w:tblCellMar>
            <w:top w:w="0" w:type="dxa"/>
            <w:left w:w="0" w:type="dxa"/>
            <w:bottom w:w="0" w:type="dxa"/>
            <w:right w:w="0" w:type="dxa"/>
          </w:tblCellMar>
        </w:tblPrEx>
        <w:trPr>
          <w:trHeight w:val="495" w:hRule="atLeast"/>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总资产周转率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11%</w:t>
            </w:r>
          </w:p>
        </w:tc>
        <w:tc>
          <w:tcPr>
            <w:tcW w:w="1780" w:type="dxa"/>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17%</w:t>
            </w:r>
          </w:p>
        </w:tc>
        <w:tc>
          <w:tcPr>
            <w:tcW w:w="1140" w:type="dxa"/>
            <w:tcBorders>
              <w:top w:val="nil"/>
              <w:left w:val="nil"/>
              <w:bottom w:val="single" w:color="auto" w:sz="4"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55%</w:t>
            </w:r>
          </w:p>
        </w:tc>
      </w:tr>
      <w:tr>
        <w:tblPrEx>
          <w:tblCellMar>
            <w:top w:w="0" w:type="dxa"/>
            <w:left w:w="0" w:type="dxa"/>
            <w:bottom w:w="0" w:type="dxa"/>
            <w:right w:w="0" w:type="dxa"/>
          </w:tblCellMar>
        </w:tblPrEx>
        <w:trPr>
          <w:trHeight w:val="465" w:hRule="atLeast"/>
        </w:trPr>
        <w:tc>
          <w:tcPr>
            <w:tcW w:w="0" w:type="auto"/>
            <w:tcBorders>
              <w:top w:val="nil"/>
              <w:left w:val="single" w:color="auto" w:sz="8" w:space="0"/>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净资产周转率</w:t>
            </w:r>
          </w:p>
        </w:tc>
        <w:tc>
          <w:tcPr>
            <w:tcW w:w="0" w:type="auto"/>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18%</w:t>
            </w:r>
          </w:p>
        </w:tc>
        <w:tc>
          <w:tcPr>
            <w:tcW w:w="1780" w:type="dxa"/>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29%</w:t>
            </w:r>
          </w:p>
        </w:tc>
        <w:tc>
          <w:tcPr>
            <w:tcW w:w="1140" w:type="dxa"/>
            <w:tcBorders>
              <w:top w:val="nil"/>
              <w:left w:val="nil"/>
              <w:bottom w:val="single" w:color="auto" w:sz="8" w:space="0"/>
              <w:right w:val="single" w:color="auto" w:sz="8" w:space="0"/>
            </w:tcBorders>
            <w:shd w:val="clear" w:color="auto" w:fill="auto"/>
            <w:noWrap/>
            <w:vAlign w:val="center"/>
          </w:tcPr>
          <w:p>
            <w:pPr>
              <w:widowControl/>
              <w:jc w:val="righ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61%</w:t>
            </w:r>
          </w:p>
        </w:tc>
      </w:tr>
    </w:tbl>
    <w:p>
      <w:pPr>
        <w:rPr>
          <w:rFonts w:ascii="楷体" w:hAnsi="楷体" w:eastAsia="楷体" w:cs="楷体"/>
          <w:bCs/>
          <w:sz w:val="32"/>
          <w:szCs w:val="32"/>
          <w:highlight w:val="yellow"/>
        </w:rPr>
      </w:pPr>
    </w:p>
    <w:p>
      <w:pPr>
        <w:spacing w:line="600" w:lineRule="exact"/>
        <w:ind w:firstLine="640" w:firstLineChars="200"/>
        <w:rPr>
          <w:rFonts w:hint="eastAsia" w:ascii="仿宋" w:hAnsi="仿宋" w:eastAsia="仿宋" w:cs="黑体"/>
          <w:sz w:val="32"/>
          <w:szCs w:val="32"/>
        </w:rPr>
      </w:pPr>
      <w:r>
        <w:rPr>
          <w:rFonts w:hint="eastAsia" w:ascii="仿宋" w:hAnsi="仿宋" w:eastAsia="仿宋" w:cs="黑体"/>
          <w:sz w:val="32"/>
          <w:szCs w:val="32"/>
        </w:rPr>
        <w:t>梭鱼湾公司1-10月对资产负债影响较大的因素：①仲裁工程款的代收代付、②5月分公司向中信银行贷款1000万元、③5月6月共计收到乌审旗蒙二中附属工程工程款1200万元、④支付乌审旗蒙二中附属工程相关成本1032万元、⑤转给土发集团往来款1300万元、⑥代收土地租金、</w:t>
      </w:r>
      <w:r>
        <w:rPr>
          <w:rFonts w:hint="eastAsia" w:ascii="仿宋" w:hAnsi="仿宋" w:eastAsia="仿宋" w:cs="黑体"/>
          <w:sz w:val="32"/>
          <w:szCs w:val="32"/>
        </w:rPr>
        <w:tab/>
      </w:r>
      <w:r>
        <w:rPr>
          <w:rFonts w:hint="eastAsia" w:ascii="仿宋" w:hAnsi="仿宋" w:eastAsia="仿宋" w:cs="黑体"/>
          <w:sz w:val="32"/>
          <w:szCs w:val="32"/>
        </w:rPr>
        <w:t>⑦确认中建八局公司收入79万元、⑧返还土发集团来款80万元，公司发生的其他成本支出及收入对整个资产负债表结构变化影响占少部分。</w:t>
      </w:r>
    </w:p>
    <w:p>
      <w:pPr>
        <w:spacing w:line="600" w:lineRule="exact"/>
        <w:ind w:firstLine="640" w:firstLineChars="200"/>
        <w:rPr>
          <w:rFonts w:hint="eastAsia" w:ascii="仿宋" w:hAnsi="仿宋" w:eastAsia="仿宋" w:cs="黑体"/>
          <w:sz w:val="32"/>
          <w:szCs w:val="32"/>
        </w:rPr>
      </w:pPr>
    </w:p>
    <w:p>
      <w:pPr>
        <w:widowControl/>
        <w:ind w:firstLine="643" w:firstLineChars="200"/>
        <w:jc w:val="left"/>
        <w:textAlignment w:val="bottom"/>
        <w:rPr>
          <w:rFonts w:hint="eastAsia" w:ascii="仿宋" w:hAnsi="仿宋" w:eastAsia="仿宋" w:cs="仿宋"/>
          <w:b/>
          <w:bCs w:val="0"/>
          <w:sz w:val="32"/>
          <w:szCs w:val="32"/>
        </w:rPr>
      </w:pPr>
      <w:r>
        <w:rPr>
          <w:rFonts w:hint="eastAsia" w:ascii="仿宋" w:hAnsi="仿宋" w:eastAsia="仿宋" w:cs="仿宋"/>
          <w:b/>
          <w:bCs w:val="0"/>
          <w:sz w:val="32"/>
          <w:szCs w:val="32"/>
        </w:rPr>
        <w:t>(</w:t>
      </w:r>
      <w:r>
        <w:rPr>
          <w:rFonts w:hint="eastAsia" w:ascii="仿宋" w:hAnsi="仿宋" w:eastAsia="仿宋" w:cs="仿宋"/>
          <w:b/>
          <w:bCs w:val="0"/>
          <w:sz w:val="32"/>
          <w:szCs w:val="32"/>
        </w:rPr>
        <w:t>2)盈利情况</w:t>
      </w:r>
    </w:p>
    <w:tbl>
      <w:tblPr>
        <w:tblStyle w:val="8"/>
        <w:tblW w:w="6760" w:type="dxa"/>
        <w:jc w:val="center"/>
        <w:tblLayout w:type="autofit"/>
        <w:tblCellMar>
          <w:top w:w="0" w:type="dxa"/>
          <w:left w:w="0" w:type="dxa"/>
          <w:bottom w:w="0" w:type="dxa"/>
          <w:right w:w="0" w:type="dxa"/>
        </w:tblCellMar>
      </w:tblPr>
      <w:tblGrid>
        <w:gridCol w:w="1900"/>
        <w:gridCol w:w="1780"/>
        <w:gridCol w:w="1700"/>
        <w:gridCol w:w="1380"/>
      </w:tblGrid>
      <w:tr>
        <w:tblPrEx>
          <w:tblCellMar>
            <w:top w:w="0" w:type="dxa"/>
            <w:left w:w="0" w:type="dxa"/>
            <w:bottom w:w="0" w:type="dxa"/>
            <w:right w:w="0" w:type="dxa"/>
          </w:tblCellMar>
        </w:tblPrEx>
        <w:trPr>
          <w:trHeight w:val="90" w:hRule="atLeast"/>
          <w:jc w:val="center"/>
        </w:trPr>
        <w:tc>
          <w:tcPr>
            <w:tcW w:w="1900" w:type="dxa"/>
            <w:tcBorders>
              <w:top w:val="single" w:color="auto" w:sz="8" w:space="0"/>
              <w:left w:val="single" w:color="auto" w:sz="8" w:space="0"/>
              <w:bottom w:val="single" w:color="auto" w:sz="4" w:space="0"/>
              <w:right w:val="single" w:color="auto" w:sz="4" w:space="0"/>
            </w:tcBorders>
            <w:shd w:val="clear" w:color="000000" w:fill="C5D9F1"/>
            <w:noWrap/>
            <w:vAlign w:val="center"/>
          </w:tcPr>
          <w:p>
            <w:pPr>
              <w:widowControl/>
              <w:ind w:firstLine="442" w:firstLineChars="200"/>
              <w:jc w:val="left"/>
              <w:textAlignment w:val="bottom"/>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损益要素</w:t>
            </w:r>
          </w:p>
        </w:tc>
        <w:tc>
          <w:tcPr>
            <w:tcW w:w="178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2021年累计</w:t>
            </w:r>
          </w:p>
        </w:tc>
        <w:tc>
          <w:tcPr>
            <w:tcW w:w="170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2020年同期</w:t>
            </w:r>
          </w:p>
        </w:tc>
        <w:tc>
          <w:tcPr>
            <w:tcW w:w="1380" w:type="dxa"/>
            <w:tcBorders>
              <w:top w:val="single" w:color="auto" w:sz="8" w:space="0"/>
              <w:left w:val="nil"/>
              <w:bottom w:val="single" w:color="auto" w:sz="4" w:space="0"/>
              <w:right w:val="single" w:color="auto" w:sz="8"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增长率</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营业收入</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cs="仿宋"/>
                <w:color w:val="000000"/>
                <w:sz w:val="22"/>
                <w:szCs w:val="22"/>
              </w:rPr>
            </w:pPr>
            <w:r>
              <w:rPr>
                <w:rFonts w:ascii="仿宋" w:hAnsi="仿宋" w:cs="仿宋"/>
                <w:color w:val="000000"/>
                <w:sz w:val="22"/>
                <w:szCs w:val="22"/>
              </w:rPr>
              <w:t>1366.0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154.0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787%</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营业成本</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746.0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税金及附加</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pPr>
            <w:r>
              <w:t>19.0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rPr>
            </w:pPr>
            <w:r>
              <w:rPr>
                <w:rFonts w:hint="eastAsia" w:ascii="仿宋" w:hAnsi="仿宋" w:eastAsia="仿宋" w:cs="仿宋"/>
              </w:rPr>
              <w:t>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管理费用</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780.0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408.0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91%</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财务费用</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16.0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-14.0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-214%</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销售费用</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投资收益</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利润总额</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-196.0</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-238.0</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-18%</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nil"/>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净利润</w:t>
            </w:r>
          </w:p>
        </w:tc>
        <w:tc>
          <w:tcPr>
            <w:tcW w:w="0" w:type="auto"/>
            <w:tcBorders>
              <w:top w:val="nil"/>
              <w:left w:val="nil"/>
              <w:bottom w:val="nil"/>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-196.0</w:t>
            </w:r>
          </w:p>
        </w:tc>
        <w:tc>
          <w:tcPr>
            <w:tcW w:w="0" w:type="auto"/>
            <w:tcBorders>
              <w:top w:val="nil"/>
              <w:left w:val="nil"/>
              <w:bottom w:val="nil"/>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ascii="仿宋" w:hAnsi="仿宋" w:eastAsia="仿宋" w:cs="仿宋"/>
                <w:color w:val="000000"/>
                <w:sz w:val="22"/>
                <w:szCs w:val="22"/>
              </w:rPr>
              <w:t>-238.0</w:t>
            </w:r>
          </w:p>
        </w:tc>
        <w:tc>
          <w:tcPr>
            <w:tcW w:w="1380" w:type="dxa"/>
            <w:tcBorders>
              <w:top w:val="nil"/>
              <w:left w:val="nil"/>
              <w:bottom w:val="nil"/>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-18%</w:t>
            </w:r>
          </w:p>
        </w:tc>
      </w:tr>
      <w:tr>
        <w:tblPrEx>
          <w:tblCellMar>
            <w:top w:w="0" w:type="dxa"/>
            <w:left w:w="0" w:type="dxa"/>
            <w:bottom w:w="0" w:type="dxa"/>
            <w:right w:w="0" w:type="dxa"/>
          </w:tblCellMar>
        </w:tblPrEx>
        <w:trPr>
          <w:trHeight w:val="615" w:hRule="atLeast"/>
          <w:jc w:val="center"/>
        </w:trPr>
        <w:tc>
          <w:tcPr>
            <w:tcW w:w="0" w:type="auto"/>
            <w:tcBorders>
              <w:top w:val="single" w:color="auto" w:sz="8" w:space="0"/>
              <w:left w:val="single" w:color="auto" w:sz="8" w:space="0"/>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相对指标</w:t>
            </w:r>
          </w:p>
        </w:tc>
        <w:tc>
          <w:tcPr>
            <w:tcW w:w="178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2021年累计</w:t>
            </w:r>
          </w:p>
        </w:tc>
        <w:tc>
          <w:tcPr>
            <w:tcW w:w="170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2020年同期</w:t>
            </w:r>
          </w:p>
        </w:tc>
        <w:tc>
          <w:tcPr>
            <w:tcW w:w="0" w:type="auto"/>
            <w:tcBorders>
              <w:top w:val="single" w:color="auto" w:sz="8" w:space="0"/>
              <w:left w:val="nil"/>
              <w:bottom w:val="single" w:color="auto" w:sz="4" w:space="0"/>
              <w:right w:val="single" w:color="auto" w:sz="8"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增减</w:t>
            </w:r>
          </w:p>
        </w:tc>
      </w:tr>
      <w:tr>
        <w:tblPrEx>
          <w:tblCellMar>
            <w:top w:w="0" w:type="dxa"/>
            <w:left w:w="0" w:type="dxa"/>
            <w:bottom w:w="0" w:type="dxa"/>
            <w:right w:w="0" w:type="dxa"/>
          </w:tblCellMar>
        </w:tblPrEx>
        <w:trPr>
          <w:trHeight w:val="61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毛利率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83%</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w:t>
            </w:r>
          </w:p>
        </w:tc>
      </w:tr>
      <w:tr>
        <w:tblPrEx>
          <w:tblCellMar>
            <w:top w:w="0" w:type="dxa"/>
            <w:left w:w="0" w:type="dxa"/>
            <w:bottom w:w="0" w:type="dxa"/>
            <w:right w:w="0" w:type="dxa"/>
          </w:tblCellMar>
        </w:tblPrEx>
        <w:trPr>
          <w:trHeight w:val="58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利润率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-26%</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w:t>
            </w:r>
          </w:p>
        </w:tc>
      </w:tr>
      <w:tr>
        <w:tblPrEx>
          <w:tblCellMar>
            <w:top w:w="0" w:type="dxa"/>
            <w:left w:w="0" w:type="dxa"/>
            <w:bottom w:w="0" w:type="dxa"/>
            <w:right w:w="0" w:type="dxa"/>
          </w:tblCellMar>
        </w:tblPrEx>
        <w:trPr>
          <w:trHeight w:val="555" w:hRule="atLeast"/>
          <w:jc w:val="center"/>
        </w:trPr>
        <w:tc>
          <w:tcPr>
            <w:tcW w:w="0" w:type="auto"/>
            <w:tcBorders>
              <w:top w:val="nil"/>
              <w:left w:val="single" w:color="auto" w:sz="8" w:space="0"/>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净资产收益率</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-4%</w:t>
            </w:r>
          </w:p>
        </w:tc>
        <w:tc>
          <w:tcPr>
            <w:tcW w:w="0" w:type="auto"/>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-5%</w:t>
            </w:r>
          </w:p>
        </w:tc>
        <w:tc>
          <w:tcPr>
            <w:tcW w:w="138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-20%</w:t>
            </w:r>
          </w:p>
        </w:tc>
      </w:tr>
      <w:tr>
        <w:tblPrEx>
          <w:tblCellMar>
            <w:top w:w="0" w:type="dxa"/>
            <w:left w:w="0" w:type="dxa"/>
            <w:bottom w:w="0" w:type="dxa"/>
            <w:right w:w="0" w:type="dxa"/>
          </w:tblCellMar>
        </w:tblPrEx>
        <w:trPr>
          <w:trHeight w:val="570" w:hRule="atLeast"/>
          <w:jc w:val="center"/>
        </w:trPr>
        <w:tc>
          <w:tcPr>
            <w:tcW w:w="0" w:type="auto"/>
            <w:tcBorders>
              <w:top w:val="nil"/>
              <w:left w:val="single" w:color="auto" w:sz="8" w:space="0"/>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资本保值增值率</w:t>
            </w:r>
          </w:p>
        </w:tc>
        <w:tc>
          <w:tcPr>
            <w:tcW w:w="0" w:type="auto"/>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95%</w:t>
            </w:r>
          </w:p>
        </w:tc>
        <w:tc>
          <w:tcPr>
            <w:tcW w:w="0" w:type="auto"/>
            <w:tcBorders>
              <w:top w:val="nil"/>
              <w:left w:val="nil"/>
              <w:bottom w:val="single" w:color="auto" w:sz="8"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94%</w:t>
            </w:r>
          </w:p>
        </w:tc>
        <w:tc>
          <w:tcPr>
            <w:tcW w:w="1380" w:type="dxa"/>
            <w:tcBorders>
              <w:top w:val="nil"/>
              <w:left w:val="nil"/>
              <w:bottom w:val="single" w:color="auto" w:sz="8"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1%</w:t>
            </w:r>
          </w:p>
        </w:tc>
      </w:tr>
    </w:tbl>
    <w:p>
      <w:pPr>
        <w:rPr>
          <w:rFonts w:ascii="楷体" w:hAnsi="楷体" w:eastAsia="楷体" w:cs="楷体"/>
          <w:bCs/>
          <w:sz w:val="32"/>
          <w:szCs w:val="32"/>
          <w:highlight w:val="yellow"/>
        </w:rPr>
      </w:pPr>
    </w:p>
    <w:p>
      <w:pPr>
        <w:ind w:firstLine="643" w:firstLineChars="200"/>
        <w:rPr>
          <w:rFonts w:hint="eastAsia" w:ascii="仿宋" w:hAnsi="仿宋" w:eastAsia="仿宋" w:cs="仿宋"/>
          <w:b/>
          <w:bCs w:val="0"/>
          <w:sz w:val="32"/>
          <w:szCs w:val="32"/>
        </w:rPr>
      </w:pPr>
      <w:r>
        <w:rPr>
          <w:rFonts w:hint="eastAsia" w:ascii="仿宋" w:hAnsi="仿宋" w:eastAsia="仿宋" w:cs="仿宋"/>
          <w:b/>
          <w:bCs w:val="0"/>
          <w:sz w:val="32"/>
          <w:szCs w:val="32"/>
        </w:rPr>
        <w:t>(3)现金流量情况</w:t>
      </w:r>
    </w:p>
    <w:tbl>
      <w:tblPr>
        <w:tblStyle w:val="8"/>
        <w:tblW w:w="10200" w:type="dxa"/>
        <w:tblInd w:w="0" w:type="dxa"/>
        <w:tblLayout w:type="autofit"/>
        <w:tblCellMar>
          <w:top w:w="0" w:type="dxa"/>
          <w:left w:w="0" w:type="dxa"/>
          <w:bottom w:w="0" w:type="dxa"/>
          <w:right w:w="0" w:type="dxa"/>
        </w:tblCellMar>
      </w:tblPr>
      <w:tblGrid>
        <w:gridCol w:w="4200"/>
        <w:gridCol w:w="1540"/>
        <w:gridCol w:w="1420"/>
        <w:gridCol w:w="1120"/>
        <w:gridCol w:w="1920"/>
      </w:tblGrid>
      <w:tr>
        <w:tblPrEx>
          <w:tblCellMar>
            <w:top w:w="0" w:type="dxa"/>
            <w:left w:w="0" w:type="dxa"/>
            <w:bottom w:w="0" w:type="dxa"/>
            <w:right w:w="0" w:type="dxa"/>
          </w:tblCellMar>
        </w:tblPrEx>
        <w:trPr>
          <w:trHeight w:val="90" w:hRule="atLeast"/>
        </w:trPr>
        <w:tc>
          <w:tcPr>
            <w:tcW w:w="4200" w:type="dxa"/>
            <w:tcBorders>
              <w:top w:val="single" w:color="auto" w:sz="8" w:space="0"/>
              <w:left w:val="single" w:color="auto" w:sz="8" w:space="0"/>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现金流量项目</w:t>
            </w:r>
          </w:p>
        </w:tc>
        <w:tc>
          <w:tcPr>
            <w:tcW w:w="154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 xml:space="preserve"> 2021年累计</w:t>
            </w:r>
          </w:p>
        </w:tc>
        <w:tc>
          <w:tcPr>
            <w:tcW w:w="142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2020年同期</w:t>
            </w:r>
          </w:p>
        </w:tc>
        <w:tc>
          <w:tcPr>
            <w:tcW w:w="1120" w:type="dxa"/>
            <w:tcBorders>
              <w:top w:val="single" w:color="auto" w:sz="8" w:space="0"/>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增长率</w:t>
            </w:r>
          </w:p>
        </w:tc>
        <w:tc>
          <w:tcPr>
            <w:tcW w:w="1920" w:type="dxa"/>
            <w:tcBorders>
              <w:top w:val="single" w:color="auto" w:sz="8" w:space="0"/>
              <w:left w:val="nil"/>
              <w:bottom w:val="single" w:color="auto" w:sz="4" w:space="0"/>
              <w:right w:val="single" w:color="auto" w:sz="8"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备注</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经营活动现金流净额</w:t>
            </w:r>
          </w:p>
        </w:tc>
        <w:tc>
          <w:tcPr>
            <w:tcW w:w="154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cs="仿宋"/>
                <w:color w:val="000000"/>
                <w:sz w:val="22"/>
                <w:szCs w:val="22"/>
              </w:rPr>
            </w:pPr>
            <w:r>
              <w:rPr>
                <w:rFonts w:ascii="仿宋" w:hAnsi="仿宋" w:cs="仿宋"/>
                <w:color w:val="000000"/>
                <w:sz w:val="22"/>
                <w:szCs w:val="22"/>
              </w:rPr>
              <w:t>-614.0</w:t>
            </w:r>
          </w:p>
        </w:tc>
        <w:tc>
          <w:tcPr>
            <w:tcW w:w="14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ascii="仿宋" w:hAnsi="仿宋" w:eastAsia="仿宋" w:cs="仿宋"/>
                <w:color w:val="000000"/>
                <w:sz w:val="22"/>
                <w:szCs w:val="22"/>
              </w:rPr>
              <w:t>-431.0</w:t>
            </w:r>
          </w:p>
        </w:tc>
        <w:tc>
          <w:tcPr>
            <w:tcW w:w="11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42%</w:t>
            </w:r>
          </w:p>
        </w:tc>
        <w:tc>
          <w:tcPr>
            <w:tcW w:w="1920" w:type="dxa"/>
            <w:tcBorders>
              <w:top w:val="nil"/>
              <w:left w:val="nil"/>
              <w:bottom w:val="single" w:color="auto" w:sz="4" w:space="0"/>
              <w:right w:val="single" w:color="auto" w:sz="8"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000000"/>
                <w:kern w:val="0"/>
                <w:sz w:val="22"/>
                <w:szCs w:val="22"/>
                <w:lang w:bidi="ar"/>
              </w:rPr>
            </w:pPr>
            <w:r>
              <w:rPr>
                <w:rFonts w:hint="eastAsia" w:ascii="仿宋" w:hAnsi="仿宋" w:eastAsia="仿宋" w:cs="仿宋"/>
                <w:color w:val="000000"/>
                <w:kern w:val="0"/>
                <w:sz w:val="22"/>
                <w:szCs w:val="22"/>
                <w:lang w:bidi="ar"/>
              </w:rPr>
              <w:t>其中：销售商品、提供劳务收到的现金</w:t>
            </w:r>
          </w:p>
        </w:tc>
        <w:tc>
          <w:tcPr>
            <w:tcW w:w="1540" w:type="dxa"/>
            <w:tcBorders>
              <w:top w:val="nil"/>
              <w:left w:val="nil"/>
              <w:bottom w:val="single" w:color="auto" w:sz="4" w:space="0"/>
              <w:right w:val="single" w:color="auto" w:sz="4" w:space="0"/>
            </w:tcBorders>
            <w:shd w:val="clear" w:color="auto" w:fill="auto"/>
            <w:noWrap/>
          </w:tcPr>
          <w:p>
            <w:pPr>
              <w:widowControl/>
              <w:jc w:val="center"/>
              <w:textAlignment w:val="center"/>
              <w:rPr>
                <w:rFonts w:ascii="仿宋" w:hAnsi="仿宋" w:eastAsia="仿宋" w:cs="仿宋"/>
                <w:color w:val="000000"/>
                <w:kern w:val="0"/>
                <w:sz w:val="22"/>
                <w:szCs w:val="22"/>
                <w:lang w:bidi="ar"/>
              </w:rPr>
            </w:pPr>
            <w:r>
              <w:rPr>
                <w:rFonts w:ascii="仿宋" w:hAnsi="仿宋" w:eastAsia="仿宋" w:cs="仿宋"/>
                <w:color w:val="000000"/>
                <w:kern w:val="0"/>
                <w:sz w:val="22"/>
                <w:szCs w:val="22"/>
                <w:lang w:bidi="ar"/>
              </w:rPr>
              <w:t>2635.0</w:t>
            </w:r>
          </w:p>
        </w:tc>
        <w:tc>
          <w:tcPr>
            <w:tcW w:w="1420" w:type="dxa"/>
            <w:tcBorders>
              <w:top w:val="nil"/>
              <w:left w:val="nil"/>
              <w:bottom w:val="single" w:color="auto" w:sz="4" w:space="0"/>
              <w:right w:val="single" w:color="auto" w:sz="4" w:space="0"/>
            </w:tcBorders>
            <w:shd w:val="clear" w:color="auto" w:fill="auto"/>
            <w:noWrap/>
          </w:tcPr>
          <w:p>
            <w:pPr>
              <w:jc w:val="center"/>
              <w:rPr>
                <w:rFonts w:ascii="仿宋" w:hAnsi="仿宋" w:eastAsia="仿宋" w:cs="仿宋"/>
                <w:color w:val="000000"/>
                <w:sz w:val="22"/>
                <w:szCs w:val="22"/>
              </w:rPr>
            </w:pPr>
            <w:r>
              <w:rPr>
                <w:rFonts w:ascii="仿宋" w:hAnsi="仿宋" w:eastAsia="仿宋" w:cs="仿宋"/>
                <w:color w:val="000000"/>
                <w:sz w:val="22"/>
                <w:szCs w:val="22"/>
              </w:rPr>
              <w:t>1.0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263400%</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占比较大的项目</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      收到其他与经营活动有关的现金      </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5746.0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7476.0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 变动较大的项目</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   购买商品接受劳务支付的现金</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1286.0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1.0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128500%</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变动较大的项目　</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投资活动现金流净额</w:t>
            </w:r>
          </w:p>
        </w:tc>
        <w:tc>
          <w:tcPr>
            <w:tcW w:w="154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0.0</w:t>
            </w:r>
          </w:p>
        </w:tc>
        <w:tc>
          <w:tcPr>
            <w:tcW w:w="14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-1.0</w:t>
            </w:r>
          </w:p>
        </w:tc>
        <w:tc>
          <w:tcPr>
            <w:tcW w:w="11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-100%</w:t>
            </w:r>
          </w:p>
        </w:tc>
        <w:tc>
          <w:tcPr>
            <w:tcW w:w="1920" w:type="dxa"/>
            <w:tcBorders>
              <w:top w:val="nil"/>
              <w:left w:val="nil"/>
              <w:bottom w:val="single" w:color="auto" w:sz="4" w:space="0"/>
              <w:right w:val="single" w:color="auto" w:sz="8"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其中：购建固定资产、无形资产和其他长期资产所支付的现金</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0.0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rPr>
              <w:t>1.0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-100%</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noWrap/>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      投资支付的现金</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筹资活动现金流净额</w:t>
            </w:r>
          </w:p>
        </w:tc>
        <w:tc>
          <w:tcPr>
            <w:tcW w:w="154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977.0</w:t>
            </w:r>
          </w:p>
        </w:tc>
        <w:tc>
          <w:tcPr>
            <w:tcW w:w="14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0.0</w:t>
            </w:r>
          </w:p>
        </w:tc>
        <w:tc>
          <w:tcPr>
            <w:tcW w:w="1120" w:type="dxa"/>
            <w:tcBorders>
              <w:top w:val="nil"/>
              <w:left w:val="nil"/>
              <w:bottom w:val="single" w:color="auto" w:sz="4"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w:t>
            </w:r>
          </w:p>
        </w:tc>
        <w:tc>
          <w:tcPr>
            <w:tcW w:w="1920" w:type="dxa"/>
            <w:tcBorders>
              <w:top w:val="nil"/>
              <w:left w:val="nil"/>
              <w:bottom w:val="single" w:color="auto" w:sz="4" w:space="0"/>
              <w:right w:val="single" w:color="auto" w:sz="8"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noWrap/>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其中： 取得借款所收到的现金</w:t>
            </w:r>
          </w:p>
        </w:tc>
        <w:tc>
          <w:tcPr>
            <w:tcW w:w="1540" w:type="dxa"/>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rPr>
              <w:t>1000.0</w:t>
            </w:r>
          </w:p>
        </w:tc>
        <w:tc>
          <w:tcPr>
            <w:tcW w:w="1420" w:type="dxa"/>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rPr>
              <w:t>0.0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变动较大的项目</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auto" w:fill="auto"/>
            <w:noWrap/>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xml:space="preserve">       偿还债务所支付的现金</w:t>
            </w:r>
          </w:p>
        </w:tc>
        <w:tc>
          <w:tcPr>
            <w:tcW w:w="1540" w:type="dxa"/>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420" w:type="dxa"/>
            <w:tcBorders>
              <w:top w:val="nil"/>
              <w:left w:val="nil"/>
              <w:bottom w:val="single" w:color="auto" w:sz="4" w:space="0"/>
              <w:right w:val="single" w:color="auto" w:sz="4" w:space="0"/>
            </w:tcBorders>
            <w:shd w:val="clear" w:color="auto" w:fill="auto"/>
            <w:noWrap/>
            <w:vAlign w:val="bottom"/>
          </w:tcPr>
          <w:p>
            <w:pPr>
              <w:widowControl/>
              <w:jc w:val="center"/>
              <w:textAlignment w:val="bottom"/>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宋体" w:hAnsi="宋体" w:eastAsia="宋体" w:cs="宋体"/>
                <w:color w:val="000000"/>
                <w:kern w:val="0"/>
                <w:sz w:val="22"/>
                <w:szCs w:val="22"/>
                <w:lang w:bidi="ar"/>
              </w:rPr>
              <w:t>-</w:t>
            </w:r>
          </w:p>
        </w:tc>
        <w:tc>
          <w:tcPr>
            <w:tcW w:w="1920" w:type="dxa"/>
            <w:tcBorders>
              <w:top w:val="nil"/>
              <w:left w:val="nil"/>
              <w:bottom w:val="single" w:color="auto" w:sz="4" w:space="0"/>
              <w:right w:val="single" w:color="auto" w:sz="8" w:space="0"/>
            </w:tcBorders>
            <w:shd w:val="clear" w:color="auto" w:fill="auto"/>
            <w:noWrap/>
            <w:vAlign w:val="bottom"/>
          </w:tcPr>
          <w:p>
            <w:pPr>
              <w:widowControl/>
              <w:jc w:val="center"/>
              <w:textAlignment w:val="bottom"/>
              <w:rPr>
                <w:rFonts w:ascii="仿宋" w:hAnsi="仿宋" w:eastAsia="仿宋" w:cs="仿宋"/>
                <w:color w:val="000000"/>
                <w:sz w:val="22"/>
                <w:szCs w:val="22"/>
              </w:rPr>
            </w:pP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8"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现金流量净增加额</w:t>
            </w:r>
          </w:p>
        </w:tc>
        <w:tc>
          <w:tcPr>
            <w:tcW w:w="1540" w:type="dxa"/>
            <w:tcBorders>
              <w:top w:val="nil"/>
              <w:left w:val="nil"/>
              <w:bottom w:val="single" w:color="auto" w:sz="8"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362.0</w:t>
            </w:r>
          </w:p>
        </w:tc>
        <w:tc>
          <w:tcPr>
            <w:tcW w:w="1420" w:type="dxa"/>
            <w:tcBorders>
              <w:top w:val="nil"/>
              <w:left w:val="nil"/>
              <w:bottom w:val="single" w:color="auto" w:sz="8" w:space="0"/>
              <w:right w:val="single" w:color="auto" w:sz="4"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rPr>
              <w:t>-431.0</w:t>
            </w:r>
          </w:p>
        </w:tc>
        <w:tc>
          <w:tcPr>
            <w:tcW w:w="1120" w:type="dxa"/>
            <w:tcBorders>
              <w:top w:val="nil"/>
              <w:left w:val="nil"/>
              <w:bottom w:val="single" w:color="auto" w:sz="8" w:space="0"/>
              <w:right w:val="single" w:color="auto" w:sz="4" w:space="0"/>
            </w:tcBorders>
            <w:shd w:val="clear" w:color="000000" w:fill="D8D8D8"/>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-184%</w:t>
            </w:r>
          </w:p>
        </w:tc>
        <w:tc>
          <w:tcPr>
            <w:tcW w:w="1920" w:type="dxa"/>
            <w:tcBorders>
              <w:top w:val="nil"/>
              <w:left w:val="nil"/>
              <w:bottom w:val="single" w:color="auto" w:sz="8" w:space="0"/>
              <w:right w:val="single" w:color="auto" w:sz="8" w:space="0"/>
            </w:tcBorders>
            <w:shd w:val="clear" w:color="000000" w:fill="D8D8D8"/>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600" w:hRule="atLeast"/>
        </w:trPr>
        <w:tc>
          <w:tcPr>
            <w:tcW w:w="4200" w:type="dxa"/>
            <w:tcBorders>
              <w:top w:val="nil"/>
              <w:left w:val="single" w:color="auto" w:sz="8" w:space="0"/>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相对指标</w:t>
            </w:r>
          </w:p>
        </w:tc>
        <w:tc>
          <w:tcPr>
            <w:tcW w:w="1540" w:type="dxa"/>
            <w:tcBorders>
              <w:top w:val="nil"/>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2021年累计</w:t>
            </w:r>
          </w:p>
        </w:tc>
        <w:tc>
          <w:tcPr>
            <w:tcW w:w="1420" w:type="dxa"/>
            <w:tcBorders>
              <w:top w:val="nil"/>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2020年同期</w:t>
            </w:r>
          </w:p>
        </w:tc>
        <w:tc>
          <w:tcPr>
            <w:tcW w:w="1120" w:type="dxa"/>
            <w:tcBorders>
              <w:top w:val="nil"/>
              <w:left w:val="nil"/>
              <w:bottom w:val="single" w:color="auto" w:sz="4" w:space="0"/>
              <w:right w:val="single" w:color="auto" w:sz="4" w:space="0"/>
            </w:tcBorders>
            <w:shd w:val="clear" w:color="000000" w:fill="C5D9F1"/>
            <w:noWrap/>
            <w:vAlign w:val="center"/>
          </w:tcPr>
          <w:p>
            <w:pPr>
              <w:widowControl/>
              <w:jc w:val="center"/>
              <w:textAlignment w:val="center"/>
              <w:rPr>
                <w:rFonts w:ascii="仿宋" w:hAnsi="仿宋" w:eastAsia="仿宋" w:cs="仿宋"/>
                <w:b/>
                <w:color w:val="000000"/>
                <w:sz w:val="22"/>
                <w:szCs w:val="22"/>
              </w:rPr>
            </w:pPr>
            <w:r>
              <w:rPr>
                <w:rFonts w:hint="eastAsia" w:ascii="仿宋" w:hAnsi="仿宋" w:eastAsia="仿宋" w:cs="仿宋"/>
                <w:b/>
                <w:color w:val="000000"/>
                <w:kern w:val="0"/>
                <w:sz w:val="22"/>
                <w:szCs w:val="22"/>
                <w:lang w:bidi="ar"/>
              </w:rPr>
              <w:t>增减</w:t>
            </w:r>
          </w:p>
        </w:tc>
        <w:tc>
          <w:tcPr>
            <w:tcW w:w="1920" w:type="dxa"/>
            <w:tcBorders>
              <w:top w:val="nil"/>
              <w:left w:val="nil"/>
              <w:bottom w:val="single" w:color="auto" w:sz="4" w:space="0"/>
              <w:right w:val="single" w:color="auto" w:sz="8" w:space="0"/>
            </w:tcBorders>
            <w:shd w:val="clear" w:color="000000" w:fill="C5D9F1"/>
            <w:noWrap/>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525" w:hRule="atLeast"/>
        </w:trPr>
        <w:tc>
          <w:tcPr>
            <w:tcW w:w="4200" w:type="dxa"/>
            <w:tcBorders>
              <w:top w:val="nil"/>
              <w:left w:val="single" w:color="auto" w:sz="8" w:space="0"/>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营业收入收现率</w:t>
            </w:r>
          </w:p>
        </w:tc>
        <w:tc>
          <w:tcPr>
            <w:tcW w:w="154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192%</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0</w:t>
            </w:r>
          </w:p>
        </w:tc>
        <w:tc>
          <w:tcPr>
            <w:tcW w:w="1120" w:type="dxa"/>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w:t>
            </w:r>
          </w:p>
        </w:tc>
        <w:tc>
          <w:tcPr>
            <w:tcW w:w="1920" w:type="dxa"/>
            <w:tcBorders>
              <w:top w:val="nil"/>
              <w:left w:val="nil"/>
              <w:bottom w:val="single" w:color="auto" w:sz="4" w:space="0"/>
              <w:right w:val="single" w:color="auto" w:sz="8" w:space="0"/>
            </w:tcBorders>
            <w:shd w:val="clear" w:color="auto" w:fill="auto"/>
            <w:noWrap/>
            <w:vAlign w:val="bottom"/>
          </w:tcPr>
          <w:p>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r>
        <w:tblPrEx>
          <w:tblCellMar>
            <w:top w:w="0" w:type="dxa"/>
            <w:left w:w="0" w:type="dxa"/>
            <w:bottom w:w="0" w:type="dxa"/>
            <w:right w:w="0" w:type="dxa"/>
          </w:tblCellMar>
        </w:tblPrEx>
        <w:trPr>
          <w:trHeight w:val="555" w:hRule="atLeast"/>
        </w:trPr>
        <w:tc>
          <w:tcPr>
            <w:tcW w:w="4200" w:type="dxa"/>
            <w:tcBorders>
              <w:top w:val="nil"/>
              <w:left w:val="single" w:color="auto" w:sz="8" w:space="0"/>
              <w:bottom w:val="single" w:color="auto" w:sz="8" w:space="0"/>
              <w:right w:val="single" w:color="auto"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经营活动净现金流与净利润比率</w:t>
            </w:r>
          </w:p>
        </w:tc>
        <w:tc>
          <w:tcPr>
            <w:tcW w:w="1540" w:type="dxa"/>
            <w:tcBorders>
              <w:top w:val="nil"/>
              <w:left w:val="nil"/>
              <w:bottom w:val="single" w:color="auto" w:sz="8"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313%</w:t>
            </w:r>
          </w:p>
        </w:tc>
        <w:tc>
          <w:tcPr>
            <w:tcW w:w="1420" w:type="dxa"/>
            <w:tcBorders>
              <w:top w:val="nil"/>
              <w:left w:val="nil"/>
              <w:bottom w:val="single" w:color="auto" w:sz="8" w:space="0"/>
              <w:right w:val="single" w:color="auto" w:sz="4" w:space="0"/>
            </w:tcBorders>
            <w:shd w:val="clear" w:color="auto" w:fill="auto"/>
            <w:noWrap/>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181%</w:t>
            </w:r>
          </w:p>
        </w:tc>
        <w:tc>
          <w:tcPr>
            <w:tcW w:w="1120" w:type="dxa"/>
            <w:tcBorders>
              <w:top w:val="nil"/>
              <w:left w:val="nil"/>
              <w:bottom w:val="single" w:color="auto" w:sz="8"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73%</w:t>
            </w:r>
          </w:p>
        </w:tc>
        <w:tc>
          <w:tcPr>
            <w:tcW w:w="1920" w:type="dxa"/>
            <w:tcBorders>
              <w:top w:val="nil"/>
              <w:left w:val="nil"/>
              <w:bottom w:val="single" w:color="auto" w:sz="8" w:space="0"/>
              <w:right w:val="single" w:color="auto" w:sz="8" w:space="0"/>
            </w:tcBorders>
            <w:shd w:val="clear" w:color="auto" w:fill="auto"/>
            <w:noWrap/>
            <w:vAlign w:val="bottom"/>
          </w:tcPr>
          <w:p>
            <w:pPr>
              <w:widowControl/>
              <w:jc w:val="left"/>
              <w:textAlignment w:val="bottom"/>
              <w:rPr>
                <w:rFonts w:ascii="仿宋" w:hAnsi="仿宋" w:eastAsia="仿宋" w:cs="仿宋"/>
                <w:color w:val="000000"/>
                <w:sz w:val="22"/>
                <w:szCs w:val="22"/>
              </w:rPr>
            </w:pPr>
            <w:r>
              <w:rPr>
                <w:rFonts w:hint="eastAsia" w:ascii="仿宋" w:hAnsi="仿宋" w:eastAsia="仿宋" w:cs="仿宋"/>
                <w:color w:val="000000"/>
                <w:kern w:val="0"/>
                <w:sz w:val="22"/>
                <w:szCs w:val="22"/>
                <w:lang w:bidi="ar"/>
              </w:rPr>
              <w:t>　</w:t>
            </w:r>
          </w:p>
        </w:tc>
      </w:tr>
    </w:tbl>
    <w:p>
      <w:pPr>
        <w:rPr>
          <w:highlight w:val="yellow"/>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黑体"/>
          <w:sz w:val="32"/>
          <w:szCs w:val="32"/>
        </w:rPr>
      </w:pPr>
      <w:r>
        <w:rPr>
          <w:rFonts w:hint="eastAsia" w:ascii="仿宋" w:hAnsi="仿宋" w:eastAsia="仿宋" w:cs="黑体"/>
          <w:sz w:val="32"/>
          <w:szCs w:val="32"/>
        </w:rPr>
        <w:t>梭鱼湾公司1-10月度对现金流量影响较大的因素是：①仲裁工程款的代收代付、②5月分公司向中信银行贷款1000万元、③5月6月共计收到乌审旗蒙二中附属工程工程款1200万元、④支付乌审旗蒙二中附属工程相关成本1032万元、⑤转给土发集团往来款1300万元、⑥收到土发集团往来款1300万元、⑦上交部分代收的土地租金400万元、⑧收到中建八局公司合同款617万元、⑨返还土发集团来款80万元，公司发生的其他成本支出及收入对整个对现金流量影响占少部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四、重点工作开展情况</w:t>
      </w:r>
    </w:p>
    <w:p>
      <w:pPr>
        <w:keepNext w:val="0"/>
        <w:keepLines w:val="0"/>
        <w:pageBreakBefore w:val="0"/>
        <w:widowControl w:val="0"/>
        <w:kinsoku/>
        <w:wordWrap/>
        <w:overflowPunct/>
        <w:topLinePunct w:val="0"/>
        <w:autoSpaceDE/>
        <w:autoSpaceDN/>
        <w:bidi w:val="0"/>
        <w:adjustRightInd/>
        <w:snapToGrid/>
        <w:spacing w:line="600" w:lineRule="exact"/>
        <w:ind w:left="225" w:leftChars="107" w:firstLine="640" w:firstLineChars="200"/>
        <w:textAlignment w:val="auto"/>
        <w:rPr>
          <w:rFonts w:hint="eastAsia" w:ascii="楷体" w:hAnsi="楷体" w:eastAsia="楷体" w:cs="楷体"/>
          <w:sz w:val="32"/>
          <w:szCs w:val="32"/>
        </w:rPr>
      </w:pPr>
      <w:r>
        <w:rPr>
          <w:rFonts w:hint="eastAsia" w:ascii="楷体" w:hAnsi="楷体" w:eastAsia="楷体" w:cs="楷体"/>
          <w:sz w:val="32"/>
          <w:szCs w:val="32"/>
        </w:rPr>
        <w:t>1. 经营项目开展情况</w:t>
      </w:r>
    </w:p>
    <w:p>
      <w:pPr>
        <w:keepNext w:val="0"/>
        <w:keepLines w:val="0"/>
        <w:pageBreakBefore w:val="0"/>
        <w:widowControl w:val="0"/>
        <w:kinsoku/>
        <w:wordWrap/>
        <w:overflowPunct/>
        <w:topLinePunct w:val="0"/>
        <w:autoSpaceDE/>
        <w:autoSpaceDN/>
        <w:bidi w:val="0"/>
        <w:adjustRightInd/>
        <w:snapToGrid/>
        <w:spacing w:line="600" w:lineRule="exact"/>
        <w:ind w:left="225" w:leftChars="107" w:firstLine="640" w:firstLineChars="200"/>
        <w:textAlignment w:val="auto"/>
        <w:rPr>
          <w:rFonts w:ascii="仿宋_GB2312" w:eastAsia="仿宋_GB2312"/>
          <w:sz w:val="32"/>
          <w:szCs w:val="32"/>
        </w:rPr>
      </w:pPr>
      <w:r>
        <w:rPr>
          <w:rFonts w:hint="eastAsia" w:ascii="仿宋_GB2312" w:eastAsia="仿宋_GB2312"/>
          <w:sz w:val="32"/>
          <w:szCs w:val="32"/>
        </w:rPr>
        <w:t>梭鱼湾公司在2</w:t>
      </w:r>
      <w:r>
        <w:rPr>
          <w:rFonts w:ascii="仿宋_GB2312" w:eastAsia="仿宋_GB2312"/>
          <w:sz w:val="32"/>
          <w:szCs w:val="32"/>
        </w:rPr>
        <w:t>020</w:t>
      </w:r>
      <w:r>
        <w:rPr>
          <w:rFonts w:hint="eastAsia" w:ascii="仿宋_GB2312" w:eastAsia="仿宋_GB2312"/>
          <w:sz w:val="32"/>
          <w:szCs w:val="32"/>
        </w:rPr>
        <w:t xml:space="preserve">年成功开创经营项目探索新局面的情况下，紧紧围绕集团公司发展战略和立足梭鱼湾区的战略布局，再接再厉，继续利用自身优势，加强队伍建设，努力拓展经营范围和经营方向，开展多种经营项目。 </w:t>
      </w:r>
    </w:p>
    <w:p>
      <w:pPr>
        <w:pStyle w:val="4"/>
        <w:keepNext w:val="0"/>
        <w:keepLines w:val="0"/>
        <w:pageBreakBefore w:val="0"/>
        <w:widowControl w:val="0"/>
        <w:kinsoku/>
        <w:wordWrap/>
        <w:overflowPunct/>
        <w:topLinePunct w:val="0"/>
        <w:autoSpaceDE/>
        <w:autoSpaceDN/>
        <w:bidi w:val="0"/>
        <w:adjustRightInd/>
        <w:snapToGrid/>
        <w:spacing w:before="0" w:line="600" w:lineRule="exact"/>
        <w:ind w:left="0" w:firstLine="640" w:firstLineChars="200"/>
        <w:textAlignment w:val="auto"/>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rPr>
        <w:t>目前，梭鱼湾公司有6</w:t>
      </w:r>
      <w:r>
        <w:rPr>
          <w:rFonts w:ascii="仿宋_GB2312" w:hAnsi="仿宋_GB2312" w:eastAsia="仿宋_GB2312" w:cs="仿宋_GB2312"/>
          <w:sz w:val="32"/>
          <w:szCs w:val="32"/>
        </w:rPr>
        <w:t>个项目正在执行，工程施工合同总计约为</w:t>
      </w:r>
      <w:r>
        <w:rPr>
          <w:rFonts w:hint="eastAsia" w:ascii="仿宋_GB2312" w:hAnsi="仿宋_GB2312" w:eastAsia="仿宋_GB2312" w:cs="仿宋_GB2312"/>
          <w:sz w:val="32"/>
          <w:szCs w:val="32"/>
        </w:rPr>
        <w:t>8269</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。根据目前经营情况预测，预计2021年全年营业收入、成本费用及利润情况如下：</w:t>
      </w:r>
    </w:p>
    <w:p>
      <w:pPr>
        <w:snapToGrid w:val="0"/>
        <w:spacing w:line="540" w:lineRule="exact"/>
        <w:ind w:firstLine="643" w:firstLineChars="200"/>
        <w:textAlignment w:val="baseline"/>
        <w:rPr>
          <w:rFonts w:ascii="仿宋" w:hAnsi="仿宋" w:eastAsia="仿宋" w:cs="楷体"/>
          <w:b/>
          <w:kern w:val="0"/>
          <w:sz w:val="32"/>
          <w:szCs w:val="30"/>
        </w:rPr>
      </w:pPr>
      <w:r>
        <w:rPr>
          <w:rFonts w:hint="eastAsia" w:ascii="仿宋" w:hAnsi="仿宋" w:eastAsia="仿宋" w:cs="楷体"/>
          <w:b/>
          <w:kern w:val="0"/>
          <w:sz w:val="32"/>
          <w:szCs w:val="30"/>
        </w:rPr>
        <w:t>主营业务收入：</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40" w:lineRule="exact"/>
              <w:textAlignment w:val="baseline"/>
              <w:rPr>
                <w:rFonts w:ascii="仿宋" w:hAnsi="仿宋" w:eastAsia="仿宋" w:cs="楷体"/>
                <w:bCs/>
                <w:kern w:val="0"/>
                <w:sz w:val="32"/>
                <w:szCs w:val="30"/>
              </w:rPr>
            </w:pPr>
            <w:r>
              <w:rPr>
                <w:rFonts w:hint="eastAsia" w:ascii="仿宋" w:hAnsi="仿宋" w:eastAsia="仿宋" w:cs="楷体"/>
                <w:bCs/>
                <w:kern w:val="0"/>
                <w:sz w:val="32"/>
                <w:szCs w:val="30"/>
              </w:rPr>
              <w:t>地铁4号线交通导改工程</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1376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小窑湾万达土石方工程</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40" w:lineRule="exact"/>
              <w:ind w:left="740" w:leftChars="200" w:hanging="320" w:hangingChars="100"/>
              <w:textAlignment w:val="baseline"/>
              <w:rPr>
                <w:rFonts w:ascii="仿宋" w:hAnsi="仿宋" w:eastAsia="仿宋" w:cs="楷体"/>
                <w:bCs/>
                <w:kern w:val="0"/>
                <w:sz w:val="32"/>
                <w:szCs w:val="30"/>
              </w:rPr>
            </w:pPr>
            <w:r>
              <w:rPr>
                <w:rFonts w:hint="eastAsia" w:ascii="仿宋" w:hAnsi="仿宋" w:eastAsia="仿宋" w:cs="楷体"/>
                <w:bCs/>
                <w:kern w:val="0"/>
                <w:sz w:val="32"/>
                <w:szCs w:val="30"/>
              </w:rPr>
              <w:t>大连梭鱼湾专业足球场 项目EPC总承包工程</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4261" w:type="dxa"/>
          </w:tcPr>
          <w:p>
            <w:pPr>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鄂尔多斯市蒙古族第二中学迁建PPP项目附属工程</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417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乌审旗SPV项目</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三分公司物业费</w:t>
            </w:r>
          </w:p>
        </w:tc>
        <w:tc>
          <w:tcPr>
            <w:tcW w:w="4261" w:type="dxa"/>
          </w:tcPr>
          <w:p>
            <w:pPr>
              <w:spacing w:line="540" w:lineRule="exact"/>
              <w:ind w:firstLine="640" w:firstLineChars="200"/>
              <w:jc w:val="center"/>
              <w:textAlignment w:val="baseline"/>
              <w:rPr>
                <w:rFonts w:ascii="仿宋" w:hAnsi="仿宋" w:eastAsia="仿宋" w:cs="楷体"/>
                <w:bCs/>
                <w:kern w:val="0"/>
                <w:sz w:val="32"/>
                <w:szCs w:val="30"/>
              </w:rPr>
            </w:pPr>
            <w:r>
              <w:rPr>
                <w:rFonts w:hint="eastAsia" w:ascii="仿宋" w:hAnsi="仿宋" w:eastAsia="仿宋" w:cs="楷体"/>
                <w:bCs/>
                <w:kern w:val="0"/>
                <w:sz w:val="32"/>
                <w:szCs w:val="30"/>
              </w:rPr>
              <w:t>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污染土治理</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b/>
                <w:bCs/>
                <w:sz w:val="32"/>
                <w:szCs w:val="32"/>
              </w:rPr>
            </w:pPr>
            <w:r>
              <w:rPr>
                <w:rFonts w:hint="eastAsia" w:ascii="仿宋_GB2312" w:hAnsi="仿宋_GB2312" w:eastAsia="仿宋_GB2312" w:cs="仿宋_GB2312"/>
                <w:sz w:val="32"/>
                <w:szCs w:val="32"/>
              </w:rPr>
              <w:t>土地看护</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合计</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2970</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提示：根据中国审计准则及中国会计准则规定，企业确认收入时应提供合同及经盖章确认的产值表等原始文件。根据前三季度经营情况，经盖章确认的产值表提供日期预计会晚于工程实际完工日期，可能造成部分归属于2021年的收入无法于2021年确认的情况。</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主营业务成本</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w:t>
            </w:r>
          </w:p>
        </w:tc>
        <w:tc>
          <w:tcPr>
            <w:tcW w:w="4261" w:type="dxa"/>
          </w:tcPr>
          <w:p>
            <w:pPr>
              <w:spacing w:line="560" w:lineRule="exact"/>
              <w:ind w:left="112"/>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地铁4号线交通导改工程</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小窑湾万达土石方工程</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大连梭鱼湾专业足球场项目EPC总承包工程</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鄂尔多斯市蒙古族第二中学迁建PPP项目附属工程</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物业成本</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合计</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2592</w:t>
            </w:r>
          </w:p>
        </w:tc>
      </w:tr>
    </w:tbl>
    <w:p>
      <w:pPr>
        <w:spacing w:line="560" w:lineRule="exact"/>
        <w:rPr>
          <w:rFonts w:ascii="仿宋_GB2312" w:hAnsi="仿宋_GB2312" w:eastAsia="仿宋_GB2312" w:cs="仿宋_GB2312"/>
          <w:sz w:val="32"/>
          <w:szCs w:val="32"/>
          <w:highlight w:val="yellow"/>
        </w:rPr>
      </w:pP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税金及费用</w:t>
      </w:r>
    </w:p>
    <w:p>
      <w:pPr>
        <w:spacing w:line="560" w:lineRule="exact"/>
        <w:ind w:firstLine="640" w:firstLineChars="200"/>
        <w:rPr>
          <w:rFonts w:ascii="仿宋_GB2312" w:hAnsi="仿宋_GB2312" w:eastAsia="仿宋_GB2312" w:cs="仿宋_GB2312"/>
          <w:sz w:val="32"/>
          <w:szCs w:val="32"/>
        </w:rPr>
      </w:pPr>
      <w:r>
        <w:rPr>
          <w:rFonts w:hint="eastAsia" w:ascii="仿宋" w:hAnsi="仿宋" w:eastAsia="仿宋" w:cs="楷体"/>
          <w:bCs/>
          <w:kern w:val="0"/>
          <w:sz w:val="32"/>
          <w:szCs w:val="30"/>
        </w:rPr>
        <w:t>根据目前经营情况预测，2021年全年，税金及附加约为64.66万元，主要为应交城市建设维护税、教育附加税、地方教育附加税及印花税；管理费用约为944万元，主要为梭鱼湾公司领导及员工工资及五险一金；财务费用约为16万元，均为中信银行1000万元贷款利息，月利息为4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560" w:lineRule="exact"/>
              <w:ind w:left="112"/>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项目</w:t>
            </w:r>
          </w:p>
        </w:tc>
        <w:tc>
          <w:tcPr>
            <w:tcW w:w="4261" w:type="dxa"/>
          </w:tcPr>
          <w:p>
            <w:pPr>
              <w:spacing w:line="560" w:lineRule="exact"/>
              <w:ind w:left="112"/>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税金及附加</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64.66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管理费用</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财务费用</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合计</w:t>
            </w:r>
          </w:p>
        </w:tc>
        <w:tc>
          <w:tcPr>
            <w:tcW w:w="4261" w:type="dxa"/>
          </w:tcPr>
          <w:p>
            <w:pPr>
              <w:spacing w:line="560" w:lineRule="exact"/>
              <w:ind w:left="112"/>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1033</w:t>
            </w:r>
          </w:p>
        </w:tc>
      </w:tr>
    </w:tbl>
    <w:p>
      <w:pPr>
        <w:spacing w:line="560" w:lineRule="exact"/>
        <w:rPr>
          <w:rFonts w:ascii="仿宋_GB2312" w:hAnsi="仿宋_GB2312" w:eastAsia="仿宋_GB2312" w:cs="仿宋_GB2312"/>
          <w:sz w:val="32"/>
          <w:szCs w:val="32"/>
          <w:highlight w:val="yellow"/>
        </w:rPr>
      </w:pP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利润</w:t>
      </w:r>
    </w:p>
    <w:p>
      <w:pPr>
        <w:pStyle w:val="4"/>
        <w:spacing w:before="0" w:line="560" w:lineRule="exact"/>
        <w:ind w:left="0" w:firstLine="640" w:firstLineChars="200"/>
        <w:rPr>
          <w:rFonts w:ascii="仿宋" w:hAnsi="仿宋" w:eastAsia="仿宋" w:cs="仿宋"/>
          <w:b/>
          <w:bCs/>
          <w:sz w:val="32"/>
          <w:szCs w:val="32"/>
        </w:rPr>
      </w:pPr>
      <w:r>
        <w:rPr>
          <w:rFonts w:hint="eastAsia" w:ascii="仿宋" w:hAnsi="仿宋" w:eastAsia="仿宋" w:cs="楷体"/>
          <w:bCs/>
          <w:kern w:val="0"/>
          <w:sz w:val="32"/>
          <w:szCs w:val="30"/>
        </w:rPr>
        <w:t>至2021年年末，</w:t>
      </w:r>
      <w:bookmarkStart w:id="0" w:name="_Hlk83222177"/>
      <w:r>
        <w:rPr>
          <w:rFonts w:hint="eastAsia" w:ascii="仿宋" w:hAnsi="仿宋" w:eastAsia="仿宋" w:cs="仿宋"/>
          <w:b/>
          <w:bCs/>
          <w:sz w:val="32"/>
          <w:szCs w:val="32"/>
        </w:rPr>
        <w:t>梭鱼湾公司全年实现营业收入2970万元，净利润为-655万元。</w:t>
      </w:r>
      <w:bookmarkEnd w:id="0"/>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2.商务区基础设施配套工程建设</w:t>
      </w:r>
    </w:p>
    <w:p>
      <w:pPr>
        <w:spacing w:line="600" w:lineRule="exact"/>
        <w:ind w:firstLine="643" w:firstLineChars="200"/>
        <w:rPr>
          <w:rFonts w:ascii="仿宋_GB2312" w:eastAsia="仿宋_GB2312"/>
          <w:b/>
          <w:bCs/>
          <w:sz w:val="32"/>
          <w:szCs w:val="32"/>
        </w:rPr>
      </w:pPr>
      <w:r>
        <w:rPr>
          <w:rFonts w:hint="eastAsia" w:ascii="仿宋_GB2312" w:eastAsia="仿宋_GB2312"/>
          <w:b/>
          <w:bCs/>
          <w:sz w:val="32"/>
          <w:szCs w:val="32"/>
        </w:rPr>
        <w:t>（1）安全生产</w:t>
      </w:r>
    </w:p>
    <w:p>
      <w:pPr>
        <w:ind w:firstLine="640" w:firstLineChars="200"/>
        <w:rPr>
          <w:rFonts w:ascii="仿宋_GB2312" w:eastAsia="仿宋_GB2312"/>
          <w:sz w:val="32"/>
          <w:szCs w:val="32"/>
        </w:rPr>
      </w:pPr>
      <w:r>
        <w:rPr>
          <w:rFonts w:hint="eastAsia" w:ascii="仿宋_GB2312" w:eastAsia="仿宋_GB2312"/>
          <w:sz w:val="32"/>
          <w:szCs w:val="32"/>
        </w:rPr>
        <w:t>完成了部长级以上安全生产责任状及承诺书的签署工作，并对新入职员工进行三级安全教育及考试；每月组织相关人员参与由土发集团组织的安全生产培训及演习；每月组织相关部门及各分公司相关安全生产工作人员定期召开安全生产例会；每月及节假日期间，不定期对公司职能范围内所属部门及分公司进行安全生产检查工作，对于检查中发现的隐患，督促并落实整改工作；根据上级集团要求，编制了综合应急预案及现场消防处置方案等相关安全生产相关资料的编制及修改工作；配合上级集团各项安全生产检查等相关工作。</w:t>
      </w:r>
    </w:p>
    <w:p>
      <w:pPr>
        <w:ind w:firstLine="643" w:firstLineChars="200"/>
        <w:rPr>
          <w:rFonts w:ascii="仿宋" w:hAnsi="仿宋" w:eastAsia="仿宋"/>
          <w:b/>
          <w:bCs/>
          <w:sz w:val="32"/>
          <w:szCs w:val="32"/>
        </w:rPr>
      </w:pPr>
      <w:r>
        <w:rPr>
          <w:rFonts w:hint="eastAsia" w:ascii="仿宋" w:hAnsi="仿宋" w:eastAsia="仿宋"/>
          <w:b/>
          <w:bCs/>
          <w:sz w:val="32"/>
          <w:szCs w:val="32"/>
        </w:rPr>
        <w:t>（2）工程项目</w:t>
      </w:r>
    </w:p>
    <w:p>
      <w:pPr>
        <w:ind w:firstLine="640" w:firstLineChars="200"/>
        <w:rPr>
          <w:rFonts w:ascii="仿宋" w:hAnsi="仿宋" w:eastAsia="仿宋"/>
          <w:sz w:val="32"/>
          <w:szCs w:val="32"/>
        </w:rPr>
      </w:pPr>
      <w:r>
        <w:rPr>
          <w:rFonts w:hint="eastAsia" w:ascii="仿宋" w:hAnsi="仿宋" w:eastAsia="仿宋"/>
          <w:sz w:val="32"/>
          <w:szCs w:val="32"/>
        </w:rPr>
        <w:t>配合城投集团、市财政局等相关部门推进关于“大化明沟（整治清淤）工程、金家街干渠污水截流管线工程及大化集团搬迁及周边改造项目污染场地调查及风</w:t>
      </w:r>
      <w:r>
        <w:rPr>
          <w:rFonts w:ascii="仿宋" w:hAnsi="仿宋" w:eastAsia="仿宋"/>
          <w:sz w:val="32"/>
          <w:szCs w:val="32"/>
        </w:rPr>
        <w:t xml:space="preserve"> </w:t>
      </w:r>
      <w:r>
        <w:rPr>
          <w:rFonts w:hint="eastAsia" w:ascii="仿宋" w:hAnsi="仿宋" w:eastAsia="仿宋"/>
          <w:sz w:val="32"/>
          <w:szCs w:val="32"/>
        </w:rPr>
        <w:t>险评估项目”剩余尾款的申请等相关工作；配合市自然资源事务服务中心推进金家街干渠（南北段）工程一标段第三方工程造价咨询的结算审核工作及工程财务决算工作；配合市自然资源中心协调市住建局及市质安中心推进梭鱼湾综合管廊土建部分竣工验收备案等工作、组织推进综合管廊土建部分修复工作；配合市自然资源中心推进填海一期工程、综合管廊配套工程（机电安装、弱电及消防）、</w:t>
      </w:r>
      <w:r>
        <w:rPr>
          <w:rFonts w:ascii="仿宋" w:hAnsi="仿宋" w:eastAsia="仿宋"/>
          <w:sz w:val="32"/>
          <w:szCs w:val="32"/>
        </w:rPr>
        <w:t>DN300</w:t>
      </w:r>
      <w:r>
        <w:rPr>
          <w:rFonts w:hint="eastAsia" w:ascii="仿宋" w:hAnsi="仿宋" w:eastAsia="仿宋"/>
          <w:sz w:val="32"/>
          <w:szCs w:val="32"/>
        </w:rPr>
        <w:t>管线改线工程、相关工程设计及监理的诉讼、仲裁工作；配合市自然资源中心完成</w:t>
      </w:r>
      <w:r>
        <w:rPr>
          <w:rFonts w:hint="eastAsia" w:ascii="仿宋" w:hAnsi="仿宋" w:eastAsia="仿宋" w:cs="仿宋_GB2312"/>
          <w:sz w:val="32"/>
          <w:szCs w:val="32"/>
        </w:rPr>
        <w:t>已完工的道路工程、排水工程、燃气工程及给水工程移交至相关管理单位。</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3.现场监察工作</w:t>
      </w:r>
    </w:p>
    <w:p>
      <w:pPr>
        <w:spacing w:line="600" w:lineRule="exact"/>
        <w:ind w:firstLine="643" w:firstLineChars="200"/>
        <w:rPr>
          <w:rFonts w:ascii="仿宋" w:hAnsi="仿宋" w:eastAsia="仿宋" w:cs="黑体"/>
          <w:b/>
          <w:bCs/>
          <w:sz w:val="32"/>
          <w:szCs w:val="32"/>
        </w:rPr>
      </w:pPr>
      <w:r>
        <w:rPr>
          <w:rFonts w:hint="eastAsia" w:ascii="仿宋" w:hAnsi="仿宋" w:eastAsia="仿宋" w:cs="黑体"/>
          <w:b/>
          <w:bCs/>
          <w:sz w:val="32"/>
          <w:szCs w:val="32"/>
        </w:rPr>
        <w:t>（1）狠抓梭鱼湾商务区扬尘污染防治措施落实</w:t>
      </w:r>
    </w:p>
    <w:p>
      <w:pPr>
        <w:spacing w:line="600" w:lineRule="exact"/>
        <w:ind w:firstLine="640" w:firstLineChars="200"/>
        <w:rPr>
          <w:rFonts w:ascii="仿宋" w:hAnsi="仿宋" w:eastAsia="仿宋" w:cs="黑体"/>
          <w:sz w:val="32"/>
          <w:szCs w:val="32"/>
        </w:rPr>
      </w:pPr>
      <w:r>
        <w:rPr>
          <w:rFonts w:hint="eastAsia" w:ascii="仿宋" w:hAnsi="仿宋" w:eastAsia="仿宋" w:cs="黑体"/>
          <w:sz w:val="32"/>
          <w:szCs w:val="32"/>
        </w:rPr>
        <w:t>2</w:t>
      </w:r>
      <w:r>
        <w:rPr>
          <w:rFonts w:ascii="仿宋" w:hAnsi="仿宋" w:eastAsia="仿宋" w:cs="黑体"/>
          <w:sz w:val="32"/>
          <w:szCs w:val="32"/>
        </w:rPr>
        <w:t>021</w:t>
      </w:r>
      <w:r>
        <w:rPr>
          <w:rFonts w:hint="eastAsia" w:ascii="仿宋" w:hAnsi="仿宋" w:eastAsia="仿宋" w:cs="黑体"/>
          <w:sz w:val="32"/>
          <w:szCs w:val="32"/>
        </w:rPr>
        <w:t>年，梭鱼湾商务区是中央环保督察组重点督察区域，为配合环保督察工作，梭鱼湾公司继续指导施工单位、生产单位建立完善扬尘污染防治管理机制、运行机制及作业台账。</w:t>
      </w:r>
    </w:p>
    <w:p>
      <w:pPr>
        <w:spacing w:line="600" w:lineRule="exact"/>
        <w:ind w:firstLine="640" w:firstLineChars="200"/>
        <w:rPr>
          <w:rFonts w:ascii="仿宋" w:hAnsi="仿宋" w:eastAsia="仿宋" w:cs="黑体"/>
          <w:sz w:val="32"/>
          <w:szCs w:val="32"/>
        </w:rPr>
      </w:pPr>
      <w:r>
        <w:rPr>
          <w:rFonts w:hint="eastAsia" w:ascii="仿宋" w:hAnsi="仿宋" w:eastAsia="仿宋" w:cs="黑体"/>
          <w:sz w:val="32"/>
          <w:szCs w:val="32"/>
        </w:rPr>
        <w:t>公司现场管理部对辖区施工单位扬尘防治工作每天进行监督检查，查看施工现场及周围裸露地块采取防尘网措施情况，查看涉及土石方作业落实洒水降尘情况，查看地铁、北京建工、海底隧道、中发公司污染土堆苫布、排水沟及土堆移动情况进行评估，对落实措施不到位的，视情节轻重分别予以纠正及停工限期整改，对不按期整改的，坚决不开工生产，并报上级有关部门处理。</w:t>
      </w:r>
    </w:p>
    <w:p>
      <w:pPr>
        <w:ind w:firstLine="800" w:firstLineChars="250"/>
        <w:rPr>
          <w:rFonts w:ascii="仿宋_GB2312" w:hAnsi="仿宋_GB2312" w:eastAsia="仿宋_GB2312" w:cs="仿宋_GB2312"/>
          <w:sz w:val="32"/>
          <w:szCs w:val="32"/>
        </w:rPr>
      </w:pPr>
      <w:r>
        <w:rPr>
          <w:rFonts w:hint="eastAsia" w:ascii="仿宋_GB2312" w:hAnsi="仿宋_GB2312" w:eastAsia="仿宋_GB2312" w:cs="仿宋_GB2312"/>
          <w:sz w:val="32"/>
          <w:szCs w:val="32"/>
        </w:rPr>
        <w:t>建立区域安全设施、安全标志、围挡设立及维修、安全警示等基础设施。对区域内基础设施、储备用地、安全施工生产、小学周边、满化码头、京谷燃码头进行巡查监督；对未开发裸露地块实施播种草种子进行绿化、覆盖防尘网，绿化面积约7000平方米，覆盖防尘网约80000平方米，</w:t>
      </w:r>
      <w:r>
        <w:rPr>
          <w:rFonts w:hint="eastAsia" w:ascii="仿宋" w:hAnsi="仿宋" w:eastAsia="仿宋" w:cs="黑体"/>
          <w:sz w:val="32"/>
          <w:szCs w:val="32"/>
        </w:rPr>
        <w:t>并随时根据区域防尘网破损情况适当增补；</w:t>
      </w:r>
      <w:r>
        <w:rPr>
          <w:rFonts w:hint="eastAsia" w:ascii="仿宋_GB2312" w:hAnsi="仿宋_GB2312" w:eastAsia="仿宋_GB2312" w:cs="仿宋_GB2312"/>
          <w:sz w:val="32"/>
          <w:szCs w:val="32"/>
        </w:rPr>
        <w:t>对施工生产单位的扬尘污染防治工作进行监督管控。</w:t>
      </w:r>
      <w:r>
        <w:rPr>
          <w:rFonts w:hint="eastAsia" w:ascii="仿宋" w:hAnsi="仿宋" w:eastAsia="仿宋" w:cs="黑体"/>
          <w:sz w:val="32"/>
          <w:szCs w:val="32"/>
        </w:rPr>
        <w:t>组织洒水车继续做好区域有关道路及学校周边洒水降尘。</w:t>
      </w:r>
      <w:r>
        <w:rPr>
          <w:rFonts w:hint="eastAsia" w:ascii="仿宋_GB2312" w:hAnsi="仿宋_GB2312" w:eastAsia="仿宋_GB2312" w:cs="仿宋_GB2312"/>
          <w:sz w:val="32"/>
          <w:szCs w:val="32"/>
        </w:rPr>
        <w:t>对运输车辆行驶路线、小学周边、20号路、18号路、13号路、10号路、22号路、25号路及公司临时便道每天洒水5—6次。</w:t>
      </w:r>
    </w:p>
    <w:p>
      <w:pPr>
        <w:spacing w:line="600" w:lineRule="exact"/>
        <w:ind w:firstLine="640" w:firstLineChars="200"/>
        <w:rPr>
          <w:rFonts w:ascii="仿宋" w:hAnsi="仿宋" w:eastAsia="仿宋" w:cs="黑体"/>
          <w:sz w:val="32"/>
          <w:szCs w:val="32"/>
        </w:rPr>
      </w:pPr>
      <w:r>
        <w:rPr>
          <w:rFonts w:hint="eastAsia" w:ascii="仿宋" w:hAnsi="仿宋" w:eastAsia="仿宋" w:cs="黑体"/>
          <w:sz w:val="32"/>
          <w:szCs w:val="32"/>
        </w:rPr>
        <w:t>遏制区域烧纸、焚香祭祀活动，采取重点部位蹲守、增加巡查次数及说教劝阻等形式进行管控。并协调街道派出所，加强管控力度。配合生态环境局甘井子分局、甘井子街道封闭商务区通向工兴路的相关道路，确保不产生外来污染源</w:t>
      </w:r>
    </w:p>
    <w:p>
      <w:pPr>
        <w:spacing w:line="60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）建立完善管理制度，推进安全施工生产</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按照辖区管理规定及有关法律法规，对施工、生产的活动跟踪监督检查，确保开工有手续、施工有监管、现场有检查、完工有验收一个完整工作循环，每一个环节都受到控制。对违规开工、占地责令立即停工，对存在安全隐患限期整改，确保施工安全有序地进行。</w:t>
      </w:r>
    </w:p>
    <w:p>
      <w:pPr>
        <w:spacing w:line="600" w:lineRule="exac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（3）联合甘井子街道综合执法局创建联合执法行动模式</w:t>
      </w:r>
    </w:p>
    <w:p>
      <w:pPr>
        <w:spacing w:line="600" w:lineRule="exact"/>
        <w:ind w:left="225" w:leftChars="107" w:firstLine="640" w:firstLineChars="200"/>
        <w:rPr>
          <w:rFonts w:ascii="仿宋_GB2312" w:eastAsia="仿宋_GB2312"/>
          <w:sz w:val="32"/>
          <w:szCs w:val="32"/>
        </w:rPr>
      </w:pPr>
      <w:r>
        <w:rPr>
          <w:rFonts w:hint="eastAsia" w:ascii="仿宋_GB2312" w:eastAsia="仿宋_GB2312"/>
          <w:sz w:val="32"/>
          <w:szCs w:val="32"/>
        </w:rPr>
        <w:t>配合甘井子街道综合执法部门，对商务区内各小区及施工工地周边摆台设点经营的摊贩进行每日巡查监管，在合法合规的前提下加大打击力度，确保商务区内各小区、建筑工地周边安全有序。</w:t>
      </w:r>
    </w:p>
    <w:p>
      <w:pPr>
        <w:spacing w:line="600" w:lineRule="exact"/>
        <w:ind w:firstLine="643" w:firstLineChars="200"/>
        <w:rPr>
          <w:rFonts w:ascii="仿宋" w:hAnsi="仿宋" w:eastAsia="仿宋" w:cs="黑体"/>
          <w:b/>
          <w:bCs/>
          <w:sz w:val="32"/>
          <w:szCs w:val="32"/>
        </w:rPr>
      </w:pPr>
      <w:r>
        <w:rPr>
          <w:rFonts w:hint="eastAsia" w:ascii="仿宋" w:hAnsi="仿宋" w:eastAsia="仿宋" w:cs="Tahoma"/>
          <w:b/>
          <w:bCs/>
          <w:color w:val="000000"/>
          <w:kern w:val="0"/>
          <w:sz w:val="32"/>
          <w:szCs w:val="32"/>
        </w:rPr>
        <w:t>4.</w:t>
      </w:r>
      <w:r>
        <w:rPr>
          <w:rFonts w:hint="eastAsia" w:ascii="楷体" w:hAnsi="楷体" w:eastAsia="楷体" w:cs="楷体"/>
          <w:sz w:val="32"/>
          <w:szCs w:val="32"/>
        </w:rPr>
        <w:t xml:space="preserve"> 土地租赁业务</w:t>
      </w:r>
    </w:p>
    <w:p>
      <w:pPr>
        <w:spacing w:line="60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2021年全年梭鱼湾商务区共租赁8宗地块, 共计代收土地租金为2644万元。</w:t>
      </w:r>
    </w:p>
    <w:p>
      <w:pPr>
        <w:ind w:firstLine="640" w:firstLineChars="200"/>
        <w:rPr>
          <w:rFonts w:ascii="黑体" w:hAnsi="黑体" w:eastAsia="黑体" w:cs="仿宋"/>
          <w:sz w:val="32"/>
          <w:szCs w:val="32"/>
        </w:rPr>
      </w:pPr>
      <w:r>
        <w:rPr>
          <w:rFonts w:hint="eastAsia" w:ascii="黑体" w:hAnsi="黑体" w:eastAsia="黑体" w:cs="仿宋"/>
          <w:sz w:val="32"/>
          <w:szCs w:val="32"/>
        </w:rPr>
        <w:t>五、存在的问题及解决方法</w:t>
      </w:r>
    </w:p>
    <w:p>
      <w:pPr>
        <w:ind w:left="795"/>
        <w:rPr>
          <w:rFonts w:ascii="楷体" w:hAnsi="楷体" w:eastAsia="楷体" w:cs="仿宋"/>
          <w:sz w:val="32"/>
          <w:szCs w:val="32"/>
        </w:rPr>
      </w:pPr>
      <w:r>
        <w:rPr>
          <w:rFonts w:hint="eastAsia" w:ascii="楷体" w:hAnsi="楷体" w:eastAsia="楷体" w:cs="仿宋"/>
          <w:sz w:val="32"/>
          <w:szCs w:val="32"/>
        </w:rPr>
        <w:t>1.存在的问题</w:t>
      </w:r>
    </w:p>
    <w:p>
      <w:pPr>
        <w:snapToGrid w:val="0"/>
        <w:spacing w:line="540" w:lineRule="exact"/>
        <w:ind w:firstLine="640" w:firstLineChars="200"/>
        <w:textAlignment w:val="baseline"/>
        <w:rPr>
          <w:rFonts w:hint="eastAsia" w:ascii="楷体" w:hAnsi="楷体" w:eastAsia="楷体" w:cs="楷体"/>
          <w:bCs/>
          <w:kern w:val="0"/>
          <w:sz w:val="32"/>
          <w:szCs w:val="30"/>
        </w:rPr>
      </w:pPr>
      <w:r>
        <w:rPr>
          <w:rFonts w:hint="eastAsia" w:ascii="楷体" w:hAnsi="楷体" w:eastAsia="楷体" w:cs="楷体"/>
          <w:bCs/>
          <w:kern w:val="0"/>
          <w:sz w:val="32"/>
          <w:szCs w:val="30"/>
        </w:rPr>
        <w:t>（1）流动资金不足</w:t>
      </w:r>
    </w:p>
    <w:p>
      <w:pPr>
        <w:snapToGrid w:val="0"/>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公司剩余的货币资金1415万元，扣除应付仲裁工程款、应上缴土地租金、应缴土地使用税、保证金后可自由支配资金为负数。目前公司员工每月工资都是由土地发展集团下拨往来款进行维持。另外我公司还欠中信银行1000万元贷款，贷款利率4.85%，需要在2022年4月28日还贷。</w:t>
      </w:r>
    </w:p>
    <w:p>
      <w:pPr>
        <w:snapToGrid w:val="0"/>
        <w:spacing w:line="540" w:lineRule="exact"/>
        <w:ind w:firstLine="640" w:firstLineChars="200"/>
        <w:textAlignment w:val="baseline"/>
        <w:rPr>
          <w:rFonts w:hint="eastAsia" w:ascii="楷体" w:hAnsi="楷体" w:eastAsia="楷体" w:cs="楷体"/>
          <w:bCs/>
          <w:kern w:val="0"/>
          <w:sz w:val="32"/>
          <w:szCs w:val="30"/>
        </w:rPr>
      </w:pPr>
      <w:r>
        <w:rPr>
          <w:rFonts w:hint="eastAsia" w:ascii="楷体" w:hAnsi="楷体" w:eastAsia="楷体" w:cs="楷体"/>
          <w:bCs/>
          <w:kern w:val="0"/>
          <w:sz w:val="32"/>
          <w:szCs w:val="30"/>
        </w:rPr>
        <w:t>（2）已签订营业合同完成收入指标不足</w:t>
      </w:r>
    </w:p>
    <w:p>
      <w:pPr>
        <w:spacing w:line="600" w:lineRule="exact"/>
        <w:ind w:firstLine="645"/>
        <w:rPr>
          <w:rFonts w:ascii="仿宋" w:hAnsi="仿宋" w:eastAsia="仿宋" w:cs="仿宋"/>
          <w:b/>
          <w:bCs/>
          <w:sz w:val="32"/>
          <w:szCs w:val="32"/>
          <w:highlight w:val="yellow"/>
        </w:rPr>
      </w:pPr>
      <w:r>
        <w:rPr>
          <w:rFonts w:hint="eastAsia" w:ascii="仿宋" w:hAnsi="仿宋" w:eastAsia="仿宋" w:cs="楷体"/>
          <w:bCs/>
          <w:kern w:val="0"/>
          <w:sz w:val="32"/>
          <w:szCs w:val="30"/>
        </w:rPr>
        <w:t>截至目前，</w:t>
      </w:r>
      <w:r>
        <w:rPr>
          <w:rFonts w:hint="eastAsia" w:ascii="仿宋" w:hAnsi="仿宋" w:eastAsia="仿宋" w:cs="仿宋"/>
          <w:sz w:val="32"/>
          <w:szCs w:val="32"/>
        </w:rPr>
        <w:t>梭鱼湾公司已签订合同预计2</w:t>
      </w:r>
      <w:r>
        <w:rPr>
          <w:rFonts w:ascii="仿宋" w:hAnsi="仿宋" w:eastAsia="仿宋" w:cs="仿宋"/>
          <w:sz w:val="32"/>
          <w:szCs w:val="32"/>
        </w:rPr>
        <w:t>021</w:t>
      </w:r>
      <w:r>
        <w:rPr>
          <w:rFonts w:hint="eastAsia" w:ascii="仿宋" w:hAnsi="仿宋" w:eastAsia="仿宋" w:cs="仿宋"/>
          <w:sz w:val="32"/>
          <w:szCs w:val="32"/>
        </w:rPr>
        <w:t>年全年实现营业收入2970万元，完成年初预算收入总额的43.3%。</w:t>
      </w:r>
    </w:p>
    <w:p>
      <w:pPr>
        <w:snapToGrid w:val="0"/>
        <w:spacing w:line="540" w:lineRule="exact"/>
        <w:ind w:firstLine="640" w:firstLineChars="200"/>
        <w:textAlignment w:val="baseline"/>
        <w:rPr>
          <w:rFonts w:hint="eastAsia" w:ascii="楷体" w:hAnsi="楷体" w:eastAsia="楷体" w:cs="楷体"/>
          <w:bCs/>
          <w:kern w:val="0"/>
          <w:sz w:val="32"/>
          <w:szCs w:val="30"/>
        </w:rPr>
      </w:pPr>
      <w:r>
        <w:rPr>
          <w:rFonts w:hint="eastAsia" w:ascii="楷体" w:hAnsi="楷体" w:eastAsia="楷体" w:cs="楷体"/>
          <w:bCs/>
          <w:kern w:val="0"/>
          <w:sz w:val="32"/>
          <w:szCs w:val="30"/>
        </w:rPr>
        <w:t>2.解决方案</w:t>
      </w:r>
    </w:p>
    <w:p>
      <w:pPr>
        <w:snapToGrid w:val="0"/>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仿宋"/>
          <w:bCs/>
          <w:kern w:val="0"/>
          <w:sz w:val="32"/>
          <w:szCs w:val="30"/>
        </w:rPr>
        <w:t>（1）</w:t>
      </w:r>
      <w:r>
        <w:rPr>
          <w:rFonts w:hint="eastAsia" w:ascii="仿宋" w:hAnsi="仿宋" w:eastAsia="仿宋" w:cs="楷体"/>
          <w:bCs/>
          <w:kern w:val="0"/>
          <w:sz w:val="32"/>
          <w:szCs w:val="30"/>
        </w:rPr>
        <w:t>鉴于公司目前流动资金不足情况，梭鱼湾公司将积极向大连市自然资源事务服务中心申请支付以前年度土地经营管理费及梭鱼湾基础设施配套工程建设管理费，解决流动资金不足的问题。</w:t>
      </w:r>
    </w:p>
    <w:p>
      <w:pPr>
        <w:snapToGrid w:val="0"/>
        <w:spacing w:line="540" w:lineRule="exact"/>
        <w:ind w:firstLine="640" w:firstLineChars="200"/>
        <w:textAlignment w:val="baseline"/>
        <w:rPr>
          <w:rFonts w:ascii="仿宋" w:hAnsi="仿宋" w:eastAsia="仿宋" w:cs="楷体"/>
          <w:bCs/>
          <w:kern w:val="0"/>
          <w:sz w:val="32"/>
          <w:szCs w:val="30"/>
        </w:rPr>
      </w:pPr>
      <w:r>
        <w:rPr>
          <w:rFonts w:hint="eastAsia" w:ascii="仿宋" w:hAnsi="仿宋" w:eastAsia="仿宋" w:cs="楷体"/>
          <w:bCs/>
          <w:kern w:val="0"/>
          <w:sz w:val="32"/>
          <w:szCs w:val="30"/>
        </w:rPr>
        <w:t>（2）2</w:t>
      </w:r>
      <w:r>
        <w:rPr>
          <w:rFonts w:ascii="仿宋" w:hAnsi="仿宋" w:eastAsia="仿宋" w:cs="楷体"/>
          <w:bCs/>
          <w:kern w:val="0"/>
          <w:sz w:val="32"/>
          <w:szCs w:val="30"/>
        </w:rPr>
        <w:t>021</w:t>
      </w:r>
      <w:r>
        <w:rPr>
          <w:rFonts w:hint="eastAsia" w:ascii="仿宋" w:hAnsi="仿宋" w:eastAsia="仿宋" w:cs="楷体"/>
          <w:bCs/>
          <w:kern w:val="0"/>
          <w:sz w:val="32"/>
          <w:szCs w:val="30"/>
        </w:rPr>
        <w:t>年底，梭鱼湾商务区污染土治理工程将启动</w:t>
      </w:r>
      <w:r>
        <w:rPr>
          <w:rFonts w:hint="eastAsia" w:ascii="仿宋" w:hAnsi="仿宋" w:eastAsia="仿宋" w:cs="仿宋"/>
          <w:color w:val="000000"/>
          <w:sz w:val="32"/>
          <w:szCs w:val="30"/>
        </w:rPr>
        <w:t>。因政策变化原因，该项目在2</w:t>
      </w:r>
      <w:r>
        <w:rPr>
          <w:rFonts w:ascii="仿宋" w:hAnsi="仿宋" w:eastAsia="仿宋" w:cs="仿宋"/>
          <w:color w:val="000000"/>
          <w:sz w:val="32"/>
          <w:szCs w:val="30"/>
        </w:rPr>
        <w:t>021</w:t>
      </w:r>
      <w:r>
        <w:rPr>
          <w:rFonts w:hint="eastAsia" w:ascii="仿宋" w:hAnsi="仿宋" w:eastAsia="仿宋" w:cs="仿宋"/>
          <w:color w:val="000000"/>
          <w:sz w:val="32"/>
          <w:szCs w:val="30"/>
        </w:rPr>
        <w:t>年未能开展，同时梭鱼湾公司将不能直接承揽污染土治理工程项目施工。</w:t>
      </w:r>
      <w:bookmarkStart w:id="1" w:name="_Hlk83896984"/>
      <w:r>
        <w:rPr>
          <w:rFonts w:hint="eastAsia" w:ascii="仿宋" w:hAnsi="仿宋" w:eastAsia="仿宋" w:cs="楷体"/>
          <w:bCs/>
          <w:kern w:val="0"/>
          <w:sz w:val="32"/>
          <w:szCs w:val="30"/>
        </w:rPr>
        <w:t>梭鱼湾公司正积极应对，组织完善公司已有的污染土修复生产线设备，通过将污染土修复设备租赁给污染土治理企业的方式参与污染土治理工程项目施工，并积极参与该项目的土石方倒运项目，力争</w:t>
      </w:r>
      <w:bookmarkEnd w:id="1"/>
      <w:r>
        <w:rPr>
          <w:rFonts w:hint="eastAsia" w:ascii="仿宋" w:hAnsi="仿宋" w:eastAsia="仿宋" w:cs="楷体"/>
          <w:bCs/>
          <w:kern w:val="0"/>
          <w:sz w:val="32"/>
          <w:szCs w:val="30"/>
        </w:rPr>
        <w:t>在2</w:t>
      </w:r>
      <w:r>
        <w:rPr>
          <w:rFonts w:ascii="仿宋" w:hAnsi="仿宋" w:eastAsia="仿宋" w:cs="楷体"/>
          <w:bCs/>
          <w:kern w:val="0"/>
          <w:sz w:val="32"/>
          <w:szCs w:val="30"/>
        </w:rPr>
        <w:t>022</w:t>
      </w:r>
      <w:r>
        <w:rPr>
          <w:rFonts w:hint="eastAsia" w:ascii="仿宋" w:hAnsi="仿宋" w:eastAsia="仿宋" w:cs="楷体"/>
          <w:bCs/>
          <w:kern w:val="0"/>
          <w:sz w:val="32"/>
          <w:szCs w:val="30"/>
        </w:rPr>
        <w:t>年扩大该项目方面营业收入。</w:t>
      </w:r>
      <w:r>
        <w:rPr>
          <w:rFonts w:ascii="仿宋" w:hAnsi="仿宋" w:eastAsia="仿宋" w:cs="楷体"/>
          <w:bCs/>
          <w:kern w:val="0"/>
          <w:sz w:val="32"/>
          <w:szCs w:val="30"/>
        </w:rPr>
        <w:t xml:space="preserve"> </w:t>
      </w:r>
    </w:p>
    <w:p>
      <w:pPr>
        <w:snapToGrid w:val="0"/>
        <w:spacing w:line="540" w:lineRule="exact"/>
        <w:ind w:firstLine="640" w:firstLineChars="200"/>
        <w:textAlignment w:val="baseline"/>
        <w:rPr>
          <w:rFonts w:ascii="仿宋" w:hAnsi="仿宋" w:eastAsia="仿宋" w:cs="楷体"/>
          <w:bCs/>
          <w:kern w:val="0"/>
          <w:sz w:val="32"/>
          <w:szCs w:val="30"/>
        </w:rPr>
      </w:pPr>
    </w:p>
    <w:p>
      <w:pPr>
        <w:snapToGrid w:val="0"/>
        <w:spacing w:line="540" w:lineRule="exact"/>
        <w:ind w:firstLine="640" w:firstLineChars="200"/>
        <w:textAlignment w:val="baseline"/>
        <w:rPr>
          <w:rFonts w:ascii="仿宋" w:hAnsi="仿宋" w:eastAsia="仿宋" w:cs="楷体"/>
          <w:bCs/>
          <w:kern w:val="0"/>
          <w:sz w:val="32"/>
          <w:szCs w:val="30"/>
        </w:rPr>
      </w:pPr>
    </w:p>
    <w:p>
      <w:pPr>
        <w:snapToGrid w:val="0"/>
        <w:spacing w:line="540" w:lineRule="exact"/>
        <w:ind w:firstLine="640" w:firstLineChars="200"/>
        <w:textAlignment w:val="baseline"/>
        <w:rPr>
          <w:rFonts w:ascii="仿宋" w:hAnsi="仿宋" w:eastAsia="仿宋" w:cs="楷体"/>
          <w:bCs/>
          <w:kern w:val="0"/>
          <w:sz w:val="32"/>
          <w:szCs w:val="30"/>
        </w:rPr>
      </w:pPr>
    </w:p>
    <w:p>
      <w:pPr>
        <w:snapToGrid w:val="0"/>
        <w:spacing w:line="540" w:lineRule="exact"/>
        <w:ind w:firstLine="640" w:firstLineChars="200"/>
        <w:textAlignment w:val="baseline"/>
        <w:rPr>
          <w:rFonts w:ascii="仿宋" w:hAnsi="仿宋" w:eastAsia="仿宋" w:cs="楷体"/>
          <w:bCs/>
          <w:kern w:val="0"/>
          <w:sz w:val="32"/>
          <w:szCs w:val="30"/>
        </w:rPr>
      </w:pPr>
    </w:p>
    <w:p>
      <w:pPr>
        <w:snapToGrid w:val="0"/>
        <w:spacing w:line="540" w:lineRule="exact"/>
        <w:textAlignment w:val="baseline"/>
        <w:rPr>
          <w:rFonts w:hint="eastAsia" w:ascii="仿宋" w:hAnsi="仿宋" w:eastAsia="仿宋" w:cs="楷体"/>
          <w:bCs/>
          <w:kern w:val="0"/>
          <w:sz w:val="32"/>
          <w:szCs w:val="30"/>
        </w:rPr>
      </w:pPr>
    </w:p>
    <w:p>
      <w:pPr>
        <w:pStyle w:val="3"/>
        <w:pageBreakBefore w:val="0"/>
        <w:kinsoku/>
        <w:wordWrap/>
        <w:overflowPunct/>
        <w:topLinePunct w:val="0"/>
        <w:autoSpaceDE/>
        <w:autoSpaceDN/>
        <w:bidi w:val="0"/>
        <w:adjustRightInd/>
        <w:snapToGrid/>
        <w:spacing w:before="0" w:after="0" w:line="600" w:lineRule="exact"/>
        <w:jc w:val="center"/>
        <w:rPr>
          <w:rFonts w:ascii="宋体" w:hAnsi="宋体" w:eastAsia="宋体" w:cs="宋体"/>
          <w:sz w:val="44"/>
          <w:szCs w:val="44"/>
        </w:rPr>
      </w:pPr>
      <w:r>
        <w:rPr>
          <w:rFonts w:hint="eastAsia" w:ascii="宋体" w:hAnsi="宋体" w:eastAsia="宋体" w:cs="宋体"/>
          <w:sz w:val="44"/>
          <w:szCs w:val="44"/>
        </w:rPr>
        <w:t>20</w:t>
      </w:r>
      <w:r>
        <w:rPr>
          <w:rFonts w:ascii="宋体" w:hAnsi="宋体" w:eastAsia="宋体" w:cs="宋体"/>
          <w:sz w:val="44"/>
          <w:szCs w:val="44"/>
        </w:rPr>
        <w:t>22</w:t>
      </w:r>
      <w:r>
        <w:rPr>
          <w:rFonts w:hint="eastAsia" w:ascii="宋体" w:hAnsi="宋体" w:eastAsia="宋体" w:cs="宋体"/>
          <w:sz w:val="44"/>
          <w:szCs w:val="44"/>
        </w:rPr>
        <w:t>年工作计划</w:t>
      </w:r>
    </w:p>
    <w:p>
      <w:pPr>
        <w:pageBreakBefore w:val="0"/>
        <w:kinsoku/>
        <w:wordWrap/>
        <w:overflowPunct/>
        <w:topLinePunct w:val="0"/>
        <w:autoSpaceDE/>
        <w:autoSpaceDN/>
        <w:bidi w:val="0"/>
        <w:adjustRightInd/>
        <w:snapToGrid/>
        <w:spacing w:line="600" w:lineRule="exact"/>
      </w:pP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一、党建工作计划</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年，梭鱼湾支部在土地发展集团党总支的领导下继续加强党建和思想政治工作，继续加强和完善党建工作，提升党支部的凝聚力和号召力，为梭鱼湾公司健康发展提供坚强保障。</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1、继续围绕“两学一做”学习教育安排抓好党员教育。继续按照土地发展集团总支部的部署精心组织支部党员的学习教育工作。积极开展“主题党日”“专题党课”活动，结合实际多渠道、多形式组织学习，努力增强党员“四个意识”，坚定理想信念、保持对党忠诚、树立清风正气、勇于担当作为，发挥先锋模范作用。</w:t>
      </w:r>
    </w:p>
    <w:p>
      <w:pPr>
        <w:pageBreakBefore w:val="0"/>
        <w:kinsoku/>
        <w:wordWrap/>
        <w:overflowPunct/>
        <w:topLinePunct w:val="0"/>
        <w:autoSpaceDE/>
        <w:autoSpaceDN/>
        <w:bidi w:val="0"/>
        <w:adjustRightInd/>
        <w:snapToGrid/>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加强党风廉政建设。在政治纪律方面：（1）维护中央权威，在政治上同以习近平同志为核心的党中央保持一致（2）认真贯彻民主集中制原则，凡属重大决策、重要干部任免、重要项目安排和大额度资金的使用，必须经支委会集体讨论作出决定。在廉洁自律方面：（1）督促支部党员自觉遵守党纪国法，带头执行中央关于领导干部廉洁自律的各项规定。（2）管好公司支部领导班子成员，发挥群众监督作用，筑牢拒腐防变的思想防线和纪律防线。</w:t>
      </w: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二、重点项目推进计划</w:t>
      </w:r>
    </w:p>
    <w:p>
      <w:pPr>
        <w:pageBreakBefore w:val="0"/>
        <w:kinsoku/>
        <w:wordWrap/>
        <w:overflowPunct/>
        <w:topLinePunct w:val="0"/>
        <w:autoSpaceDE/>
        <w:autoSpaceDN/>
        <w:bidi w:val="0"/>
        <w:adjustRightInd/>
        <w:snapToGrid/>
        <w:spacing w:line="600" w:lineRule="exact"/>
        <w:ind w:firstLine="648"/>
        <w:rPr>
          <w:rFonts w:ascii="仿宋" w:hAnsi="仿宋" w:eastAsia="仿宋"/>
          <w:sz w:val="32"/>
          <w:szCs w:val="32"/>
        </w:rPr>
      </w:pPr>
      <w:r>
        <w:rPr>
          <w:rFonts w:hint="eastAsia" w:ascii="仿宋" w:hAnsi="仿宋" w:eastAsia="仿宋"/>
          <w:sz w:val="32"/>
          <w:szCs w:val="32"/>
        </w:rPr>
        <w:t>进一步推进工程建设项目经营，梭鱼湾公司将结合梭鱼湾商务区发展定位，进一步内部挖潜，调整经营方向，全面梳理业务合同，多方参与项目工程建设管理，进一步拓展公司经营范围，增加收入渠道，扩大营业收入。继续完善污染土修复设备生产线，工程建设施工内部管理制度，加大推进商务区大物业项目经营力度，按照2022年经营责任状实现全年经营指标，实现国有资产保值增值。</w:t>
      </w:r>
      <w:r>
        <w:rPr>
          <w:rFonts w:ascii="仿宋" w:hAnsi="仿宋" w:eastAsia="仿宋"/>
          <w:sz w:val="32"/>
          <w:szCs w:val="32"/>
        </w:rPr>
        <w:t xml:space="preserve"> </w:t>
      </w:r>
    </w:p>
    <w:p>
      <w:pPr>
        <w:pageBreakBefore w:val="0"/>
        <w:kinsoku/>
        <w:wordWrap/>
        <w:overflowPunct/>
        <w:topLinePunct w:val="0"/>
        <w:autoSpaceDE/>
        <w:autoSpaceDN/>
        <w:bidi w:val="0"/>
        <w:adjustRightInd/>
        <w:snapToGrid/>
        <w:spacing w:line="600" w:lineRule="exact"/>
        <w:ind w:firstLine="648"/>
        <w:rPr>
          <w:rFonts w:ascii="仿宋" w:hAnsi="仿宋" w:eastAsia="仿宋"/>
          <w:sz w:val="32"/>
          <w:szCs w:val="32"/>
        </w:rPr>
      </w:pPr>
      <w:r>
        <w:rPr>
          <w:rFonts w:hint="eastAsia" w:ascii="楷体" w:hAnsi="楷体" w:eastAsia="楷体" w:cs="楷体"/>
          <w:sz w:val="32"/>
          <w:szCs w:val="32"/>
        </w:rPr>
        <w:t>1.计划完成施工项目收入 3649万元（其中1000万元为新项目收入）</w:t>
      </w:r>
    </w:p>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r>
        <w:rPr>
          <w:rFonts w:hint="eastAsia" w:ascii="仿宋" w:hAnsi="仿宋" w:eastAsia="仿宋"/>
          <w:sz w:val="32"/>
          <w:szCs w:val="32"/>
        </w:rPr>
        <w:t>（1）继续推进</w:t>
      </w:r>
      <w:r>
        <w:rPr>
          <w:rFonts w:ascii="仿宋" w:hAnsi="仿宋" w:eastAsia="仿宋"/>
          <w:sz w:val="32"/>
          <w:szCs w:val="32"/>
        </w:rPr>
        <w:t>2021</w:t>
      </w:r>
      <w:r>
        <w:rPr>
          <w:rFonts w:hint="eastAsia" w:ascii="仿宋" w:hAnsi="仿宋" w:eastAsia="仿宋"/>
          <w:sz w:val="32"/>
          <w:szCs w:val="32"/>
        </w:rPr>
        <w:t>年签订合同项目施工，梭鱼湾公司2</w:t>
      </w:r>
      <w:r>
        <w:rPr>
          <w:rFonts w:ascii="仿宋" w:hAnsi="仿宋" w:eastAsia="仿宋"/>
          <w:sz w:val="32"/>
          <w:szCs w:val="32"/>
        </w:rPr>
        <w:t>021</w:t>
      </w:r>
      <w:r>
        <w:rPr>
          <w:rFonts w:hint="eastAsia" w:ascii="仿宋" w:hAnsi="仿宋" w:eastAsia="仿宋"/>
          <w:sz w:val="32"/>
          <w:szCs w:val="32"/>
        </w:rPr>
        <w:t>年对外承揽</w:t>
      </w:r>
      <w:r>
        <w:rPr>
          <w:rFonts w:ascii="仿宋_GB2312" w:hAnsi="仿宋_GB2312" w:eastAsia="仿宋_GB2312" w:cs="仿宋_GB2312"/>
          <w:sz w:val="32"/>
          <w:szCs w:val="32"/>
        </w:rPr>
        <w:t>4个工程建筑</w:t>
      </w:r>
      <w:r>
        <w:rPr>
          <w:rFonts w:hint="eastAsia" w:ascii="仿宋_GB2312" w:hAnsi="仿宋_GB2312" w:eastAsia="仿宋_GB2312" w:cs="仿宋_GB2312"/>
          <w:sz w:val="32"/>
          <w:szCs w:val="32"/>
        </w:rPr>
        <w:t>工程施工</w:t>
      </w:r>
      <w:r>
        <w:rPr>
          <w:rFonts w:ascii="仿宋_GB2312" w:hAnsi="仿宋_GB2312" w:eastAsia="仿宋_GB2312" w:cs="仿宋_GB2312"/>
          <w:sz w:val="32"/>
          <w:szCs w:val="32"/>
        </w:rPr>
        <w:t>项目，工程施工合同</w:t>
      </w:r>
      <w:r>
        <w:rPr>
          <w:rFonts w:hint="eastAsia" w:ascii="仿宋_GB2312" w:hAnsi="仿宋_GB2312" w:eastAsia="仿宋_GB2312" w:cs="仿宋_GB2312"/>
          <w:sz w:val="32"/>
          <w:szCs w:val="32"/>
        </w:rPr>
        <w:t>额</w:t>
      </w:r>
      <w:r>
        <w:rPr>
          <w:rFonts w:ascii="仿宋_GB2312" w:hAnsi="仿宋_GB2312" w:eastAsia="仿宋_GB2312" w:cs="仿宋_GB2312"/>
          <w:sz w:val="32"/>
          <w:szCs w:val="32"/>
        </w:rPr>
        <w:t>总计约为</w:t>
      </w:r>
      <w:r>
        <w:rPr>
          <w:rFonts w:hint="eastAsia" w:ascii="仿宋_GB2312" w:hAnsi="仿宋_GB2312" w:eastAsia="仿宋_GB2312" w:cs="仿宋_GB2312"/>
          <w:sz w:val="32"/>
          <w:szCs w:val="32"/>
        </w:rPr>
        <w:t>8269</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，其中2</w:t>
      </w:r>
      <w:r>
        <w:rPr>
          <w:rFonts w:ascii="仿宋_GB2312" w:hAnsi="仿宋_GB2312" w:eastAsia="仿宋_GB2312" w:cs="仿宋_GB2312"/>
          <w:sz w:val="32"/>
          <w:szCs w:val="32"/>
        </w:rPr>
        <w:t>021</w:t>
      </w:r>
      <w:r>
        <w:rPr>
          <w:rFonts w:hint="eastAsia" w:ascii="仿宋_GB2312" w:hAnsi="仿宋_GB2312" w:eastAsia="仿宋_GB2312" w:cs="仿宋_GB2312"/>
          <w:sz w:val="32"/>
          <w:szCs w:val="32"/>
        </w:rPr>
        <w:t>年实际完成产值2970万元，2</w:t>
      </w:r>
      <w:r>
        <w:rPr>
          <w:rFonts w:ascii="仿宋_GB2312" w:hAnsi="仿宋_GB2312" w:eastAsia="仿宋_GB2312" w:cs="仿宋_GB2312"/>
          <w:sz w:val="32"/>
          <w:szCs w:val="32"/>
        </w:rPr>
        <w:t>022</w:t>
      </w:r>
      <w:r>
        <w:rPr>
          <w:rFonts w:hint="eastAsia" w:ascii="仿宋_GB2312" w:hAnsi="仿宋_GB2312" w:eastAsia="仿宋_GB2312" w:cs="仿宋_GB2312"/>
          <w:sz w:val="32"/>
          <w:szCs w:val="32"/>
        </w:rPr>
        <w:t>年，梭鱼湾公司将继续推进以上项目的进行，计划完成营业收入</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649万元。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7"/>
        <w:gridCol w:w="4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项目名称</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大连梭鱼湾专业足球场项目EPC总承包工程（土石方工程）</w:t>
            </w:r>
          </w:p>
        </w:tc>
        <w:tc>
          <w:tcPr>
            <w:tcW w:w="4587" w:type="dxa"/>
            <w:vAlign w:val="center"/>
          </w:tcPr>
          <w:p>
            <w:pPr>
              <w:pageBreakBefore w:val="0"/>
              <w:widowControl/>
              <w:kinsoku/>
              <w:wordWrap/>
              <w:overflowPunct/>
              <w:topLinePunct w:val="0"/>
              <w:autoSpaceDE/>
              <w:autoSpaceDN/>
              <w:bidi w:val="0"/>
              <w:adjustRightInd/>
              <w:snapToGrid/>
              <w:spacing w:line="600" w:lineRule="exact"/>
              <w:jc w:val="center"/>
              <w:textAlignment w:val="center"/>
              <w:rPr>
                <w:rFonts w:ascii="宋体" w:hAnsi="宋体" w:cs="宋体"/>
                <w:color w:val="000000"/>
                <w:sz w:val="22"/>
                <w:szCs w:val="22"/>
              </w:rPr>
            </w:pPr>
            <w:r>
              <w:rPr>
                <w:rFonts w:hint="eastAsia" w:ascii="仿宋_GB2312" w:hAnsi="仿宋_GB2312" w:eastAsia="仿宋_GB2312" w:cs="仿宋_GB2312"/>
                <w:sz w:val="32"/>
                <w:szCs w:val="32"/>
              </w:rPr>
              <w:t>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鄂尔多斯市蒙古族第二中学迁建PPP项目附属工程</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万达XYW项目土方工程</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 w:hAnsi="仿宋" w:eastAsia="仿宋" w:cs="楷体"/>
                <w:bCs/>
                <w:sz w:val="32"/>
                <w:szCs w:val="30"/>
              </w:rPr>
              <w:t>地铁4号线交通导改工程</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剩余工程需2</w:t>
            </w:r>
            <w:r>
              <w:rPr>
                <w:rFonts w:ascii="仿宋_GB2312" w:hAnsi="仿宋_GB2312" w:eastAsia="仿宋_GB2312" w:cs="仿宋_GB2312"/>
                <w:sz w:val="32"/>
                <w:szCs w:val="32"/>
              </w:rPr>
              <w:t>023</w:t>
            </w:r>
            <w:r>
              <w:rPr>
                <w:rFonts w:hint="eastAsia" w:ascii="仿宋_GB2312" w:hAnsi="仿宋_GB2312" w:eastAsia="仿宋_GB2312" w:cs="仿宋_GB2312"/>
                <w:sz w:val="32"/>
                <w:szCs w:val="32"/>
              </w:rPr>
              <w:t>年地铁封盖后才能继续施工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b/>
                <w:bCs/>
                <w:sz w:val="32"/>
                <w:szCs w:val="32"/>
              </w:rPr>
              <w:t>合计</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649</w:t>
            </w:r>
          </w:p>
        </w:tc>
      </w:tr>
    </w:tbl>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p>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（2）2</w:t>
      </w:r>
      <w:r>
        <w:rPr>
          <w:rFonts w:ascii="仿宋_GB2312" w:hAnsi="仿宋_GB2312" w:eastAsia="仿宋_GB2312" w:cs="仿宋_GB2312"/>
          <w:sz w:val="32"/>
          <w:szCs w:val="32"/>
        </w:rPr>
        <w:t>022</w:t>
      </w:r>
      <w:r>
        <w:rPr>
          <w:rFonts w:hint="eastAsia" w:ascii="仿宋_GB2312" w:hAnsi="仿宋_GB2312" w:eastAsia="仿宋_GB2312" w:cs="仿宋_GB2312"/>
          <w:sz w:val="32"/>
          <w:szCs w:val="32"/>
        </w:rPr>
        <w:t>年梭鱼湾公司将继续开拓基础建设施工新项目，其中包括：计划继续开展小窑湾万达广场土石方二期施工项目，合同额约1</w:t>
      </w:r>
      <w:r>
        <w:rPr>
          <w:rFonts w:ascii="仿宋_GB2312" w:hAnsi="仿宋_GB2312" w:eastAsia="仿宋_GB2312" w:cs="仿宋_GB2312"/>
          <w:sz w:val="32"/>
          <w:szCs w:val="32"/>
        </w:rPr>
        <w:t>000</w:t>
      </w:r>
      <w:r>
        <w:rPr>
          <w:rFonts w:hint="eastAsia" w:ascii="仿宋_GB2312" w:hAnsi="仿宋_GB2312" w:eastAsia="仿宋_GB2312" w:cs="仿宋_GB2312"/>
          <w:sz w:val="32"/>
          <w:szCs w:val="32"/>
        </w:rPr>
        <w:t>万元，预计完成营业收入5</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万元；计划开展足球场配套项目建设施工，合同额约1</w:t>
      </w:r>
      <w:r>
        <w:rPr>
          <w:rFonts w:ascii="仿宋_GB2312" w:hAnsi="仿宋_GB2312" w:eastAsia="仿宋_GB2312" w:cs="仿宋_GB2312"/>
          <w:sz w:val="32"/>
          <w:szCs w:val="32"/>
        </w:rPr>
        <w:t>000</w:t>
      </w:r>
      <w:r>
        <w:rPr>
          <w:rFonts w:hint="eastAsia" w:ascii="仿宋_GB2312" w:hAnsi="仿宋_GB2312" w:eastAsia="仿宋_GB2312" w:cs="仿宋_GB2312"/>
          <w:sz w:val="32"/>
          <w:szCs w:val="32"/>
        </w:rPr>
        <w:t>万元，预计完成营业收入5</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7"/>
        <w:gridCol w:w="4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项目名称</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万达XYW项目土方工程</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足球场配套项目建设施工</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合计</w:t>
            </w:r>
          </w:p>
        </w:tc>
        <w:tc>
          <w:tcPr>
            <w:tcW w:w="4587" w:type="dxa"/>
          </w:tcPr>
          <w:p>
            <w:pPr>
              <w:pageBreakBefore w:val="0"/>
              <w:kinsoku/>
              <w:wordWrap/>
              <w:overflowPunct/>
              <w:topLinePunct w:val="0"/>
              <w:autoSpaceDE/>
              <w:autoSpaceDN/>
              <w:bidi w:val="0"/>
              <w:adjustRightInd/>
              <w:snapToGrid/>
              <w:spacing w:line="600" w:lineRule="exact"/>
              <w:jc w:val="center"/>
              <w:rPr>
                <w:rFonts w:ascii="仿宋_GB2312" w:hAnsi="仿宋_GB2312" w:eastAsia="仿宋_GB2312" w:cs="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000</w:t>
            </w:r>
          </w:p>
        </w:tc>
      </w:tr>
    </w:tbl>
    <w:p>
      <w:pPr>
        <w:pageBreakBefore w:val="0"/>
        <w:kinsoku/>
        <w:wordWrap/>
        <w:overflowPunct/>
        <w:topLinePunct w:val="0"/>
        <w:autoSpaceDE/>
        <w:autoSpaceDN/>
        <w:bidi w:val="0"/>
        <w:adjustRightInd/>
        <w:snapToGrid/>
        <w:spacing w:line="600" w:lineRule="exact"/>
        <w:rPr>
          <w:rFonts w:ascii="仿宋_GB2312" w:hAnsi="仿宋_GB2312" w:eastAsia="仿宋_GB2312" w:cs="仿宋_GB2312"/>
          <w:sz w:val="32"/>
          <w:szCs w:val="32"/>
        </w:rPr>
      </w:pPr>
    </w:p>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r>
        <w:rPr>
          <w:rFonts w:hint="eastAsia" w:ascii="楷体" w:hAnsi="楷体" w:eastAsia="楷体" w:cs="楷体"/>
          <w:sz w:val="32"/>
          <w:szCs w:val="32"/>
        </w:rPr>
        <w:t>2.计划完成污染土治理相关施工营业收入2500万元</w:t>
      </w:r>
    </w:p>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按照市政府工作部署，2</w:t>
      </w:r>
      <w:r>
        <w:rPr>
          <w:rFonts w:ascii="仿宋_GB2312" w:hAnsi="仿宋_GB2312" w:eastAsia="仿宋_GB2312" w:cs="仿宋_GB2312"/>
          <w:sz w:val="32"/>
          <w:szCs w:val="32"/>
        </w:rPr>
        <w:t>022</w:t>
      </w:r>
      <w:r>
        <w:rPr>
          <w:rFonts w:hint="eastAsia" w:ascii="仿宋_GB2312" w:hAnsi="仿宋_GB2312" w:eastAsia="仿宋_GB2312" w:cs="仿宋_GB2312"/>
          <w:sz w:val="32"/>
          <w:szCs w:val="32"/>
        </w:rPr>
        <w:t>年将启动原大化集团搬迁及周边改造项目污染场地地上堆土治理项目，该项目总投资约6.5亿元，治理土方量约145.49万方，项目周期2021年-2023年。2022年全年预计完成5.6亿元污染土治理，其中包含99.81万方粉煤灰及碱渣处置，34万方污染土治理。</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根据2021年8月10日召开的市政府党组2021年第十四次（扩大）会议规定，施工单位应于梭鱼湾商务区内完成污染土的治理及修复工作。由于目前梭鱼湾商务区范围内仅有梭鱼湾公司拥有2套完整的全资质污染土治理及修复生产线，因此在污染土治理设备租赁及土石方工程施工方面梭鱼湾公司具有区位优势地位。梭鱼湾公司将在2</w:t>
      </w:r>
      <w:r>
        <w:rPr>
          <w:rFonts w:ascii="仿宋" w:hAnsi="仿宋" w:eastAsia="仿宋" w:cs="仿宋"/>
          <w:sz w:val="32"/>
          <w:szCs w:val="32"/>
        </w:rPr>
        <w:t>021</w:t>
      </w:r>
      <w:r>
        <w:rPr>
          <w:rFonts w:hint="eastAsia" w:ascii="仿宋" w:hAnsi="仿宋" w:eastAsia="仿宋" w:cs="仿宋"/>
          <w:sz w:val="32"/>
          <w:szCs w:val="32"/>
        </w:rPr>
        <w:t>年相关工作的基础上，进一步挖潜、通过污染土修复设备生产线租赁、污染土厂区内倒运的方式参与商务区污染土治理项目，力争实现设备租赁及土石方倒运营业收入</w:t>
      </w:r>
      <w:r>
        <w:rPr>
          <w:rFonts w:ascii="仿宋" w:hAnsi="仿宋" w:eastAsia="仿宋" w:cs="仿宋"/>
          <w:sz w:val="32"/>
          <w:szCs w:val="32"/>
        </w:rPr>
        <w:t>2500</w:t>
      </w:r>
      <w:r>
        <w:rPr>
          <w:rFonts w:hint="eastAsia" w:ascii="仿宋" w:hAnsi="仿宋" w:eastAsia="仿宋" w:cs="仿宋"/>
          <w:sz w:val="32"/>
          <w:szCs w:val="32"/>
        </w:rPr>
        <w:t>万元。其中包括：</w:t>
      </w:r>
    </w:p>
    <w:p>
      <w:pPr>
        <w:pageBreakBefore w:val="0"/>
        <w:kinsoku/>
        <w:wordWrap/>
        <w:overflowPunct/>
        <w:topLinePunct w:val="0"/>
        <w:autoSpaceDE/>
        <w:autoSpaceDN/>
        <w:bidi w:val="0"/>
        <w:adjustRightInd/>
        <w:snapToGrid/>
        <w:spacing w:line="600" w:lineRule="exact"/>
        <w:ind w:firstLine="648"/>
        <w:rPr>
          <w:rFonts w:ascii="仿宋" w:hAnsi="仿宋" w:eastAsia="仿宋" w:cs="仿宋"/>
          <w:b/>
          <w:bCs/>
          <w:sz w:val="32"/>
          <w:szCs w:val="32"/>
        </w:rPr>
      </w:pPr>
      <w:r>
        <w:rPr>
          <w:rFonts w:hint="eastAsia" w:ascii="仿宋" w:hAnsi="仿宋" w:eastAsia="仿宋" w:cs="仿宋"/>
          <w:b/>
          <w:bCs/>
          <w:sz w:val="32"/>
          <w:szCs w:val="32"/>
        </w:rPr>
        <w:t>（1）污染土淋洗线设备租赁</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年，梭鱼湾公司将继续完善污染土淋洗设备生产线，采取各种举措降低生产设备维护成本，完善自身生产线，提高设备生产效率，增加利润率。计划实现营业收入1</w:t>
      </w:r>
      <w:r>
        <w:rPr>
          <w:rFonts w:ascii="仿宋" w:hAnsi="仿宋" w:eastAsia="仿宋" w:cs="仿宋"/>
          <w:sz w:val="32"/>
          <w:szCs w:val="32"/>
        </w:rPr>
        <w:t>300</w:t>
      </w:r>
      <w:r>
        <w:rPr>
          <w:rFonts w:hint="eastAsia" w:ascii="仿宋" w:hAnsi="仿宋" w:eastAsia="仿宋" w:cs="仿宋"/>
          <w:sz w:val="32"/>
          <w:szCs w:val="32"/>
        </w:rPr>
        <w:t>万元。</w:t>
      </w:r>
    </w:p>
    <w:p>
      <w:pPr>
        <w:pageBreakBefore w:val="0"/>
        <w:kinsoku/>
        <w:wordWrap/>
        <w:overflowPunct/>
        <w:topLinePunct w:val="0"/>
        <w:autoSpaceDE/>
        <w:autoSpaceDN/>
        <w:bidi w:val="0"/>
        <w:adjustRightInd/>
        <w:snapToGrid/>
        <w:spacing w:line="600" w:lineRule="exact"/>
        <w:ind w:firstLine="648"/>
        <w:rPr>
          <w:rFonts w:ascii="仿宋" w:hAnsi="仿宋" w:eastAsia="仿宋" w:cs="仿宋"/>
          <w:b/>
          <w:bCs/>
          <w:sz w:val="32"/>
          <w:szCs w:val="32"/>
        </w:rPr>
      </w:pPr>
      <w:r>
        <w:rPr>
          <w:rFonts w:hint="eastAsia" w:ascii="仿宋" w:hAnsi="仿宋" w:eastAsia="仿宋" w:cs="仿宋"/>
          <w:b/>
          <w:bCs/>
          <w:sz w:val="32"/>
          <w:szCs w:val="32"/>
        </w:rPr>
        <w:t>（2）污染土大棚设备租赁</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梭鱼湾公司计划按照市政府污染土修复工作要求，引进污染土常温解析大棚一座，以满足污染土修复治理施工单位针对不同污染土进行处理的需要，如采用允许污染土修复施工自建的方式，则梭鱼湾公司短期内不产生营业收入；如采用以租赁的方式取得污染土常温解析大棚并以设备租赁的方式转租给污染土修复治理施工单位，则可以当年产生营业收入。预计可实现营业收入</w:t>
      </w:r>
      <w:r>
        <w:rPr>
          <w:rFonts w:ascii="仿宋" w:hAnsi="仿宋" w:eastAsia="仿宋" w:cs="仿宋"/>
          <w:sz w:val="32"/>
          <w:szCs w:val="32"/>
        </w:rPr>
        <w:t>300</w:t>
      </w:r>
      <w:r>
        <w:rPr>
          <w:rFonts w:hint="eastAsia" w:ascii="仿宋" w:hAnsi="仿宋" w:eastAsia="仿宋" w:cs="仿宋"/>
          <w:sz w:val="32"/>
          <w:szCs w:val="32"/>
        </w:rPr>
        <w:t>万元。</w:t>
      </w:r>
    </w:p>
    <w:p>
      <w:pPr>
        <w:pageBreakBefore w:val="0"/>
        <w:kinsoku/>
        <w:wordWrap/>
        <w:overflowPunct/>
        <w:topLinePunct w:val="0"/>
        <w:autoSpaceDE/>
        <w:autoSpaceDN/>
        <w:bidi w:val="0"/>
        <w:adjustRightInd/>
        <w:snapToGrid/>
        <w:spacing w:line="600" w:lineRule="exact"/>
        <w:ind w:firstLine="648"/>
        <w:rPr>
          <w:rFonts w:ascii="仿宋" w:hAnsi="仿宋" w:eastAsia="仿宋" w:cs="仿宋"/>
          <w:b/>
          <w:bCs/>
          <w:sz w:val="32"/>
          <w:szCs w:val="32"/>
        </w:rPr>
      </w:pPr>
      <w:bookmarkStart w:id="5" w:name="_GoBack"/>
      <w:r>
        <w:rPr>
          <w:rFonts w:hint="eastAsia" w:ascii="仿宋" w:hAnsi="仿宋" w:eastAsia="仿宋" w:cs="仿宋"/>
          <w:b/>
          <w:bCs/>
          <w:sz w:val="32"/>
          <w:szCs w:val="32"/>
        </w:rPr>
        <w:t>（3）土石方转运</w:t>
      </w:r>
    </w:p>
    <w:bookmarkEnd w:id="5"/>
    <w:p>
      <w:pPr>
        <w:pageBreakBefore w:val="0"/>
        <w:kinsoku/>
        <w:wordWrap/>
        <w:overflowPunct/>
        <w:topLinePunct w:val="0"/>
        <w:autoSpaceDE/>
        <w:autoSpaceDN/>
        <w:bidi w:val="0"/>
        <w:adjustRightInd/>
        <w:snapToGrid/>
        <w:spacing w:line="600" w:lineRule="exact"/>
        <w:ind w:firstLine="648"/>
        <w:rPr>
          <w:rFonts w:ascii="仿宋_GB2312" w:hAnsi="仿宋_GB2312" w:eastAsia="仿宋_GB2312" w:cs="仿宋_GB2312"/>
          <w:sz w:val="32"/>
          <w:szCs w:val="32"/>
        </w:rPr>
      </w:pPr>
      <w:r>
        <w:rPr>
          <w:rFonts w:hint="eastAsia" w:ascii="仿宋_GB2312" w:hAnsi="仿宋_GB2312" w:eastAsia="仿宋_GB2312" w:cs="仿宋_GB2312"/>
          <w:sz w:val="32"/>
          <w:szCs w:val="32"/>
        </w:rPr>
        <w:t>根据市政府工作计划，2022年商务区污染土全年预计完成5.6亿元污染土治理，其中包含99.81万方粉煤灰及碱渣处置，梭鱼湾公司将积极参与该部分项目施工，计划完成营业收入</w:t>
      </w:r>
      <w:r>
        <w:rPr>
          <w:rFonts w:ascii="仿宋_GB2312" w:hAnsi="仿宋_GB2312" w:eastAsia="仿宋_GB2312" w:cs="仿宋_GB2312"/>
          <w:sz w:val="32"/>
          <w:szCs w:val="32"/>
        </w:rPr>
        <w:t>900</w:t>
      </w:r>
      <w:r>
        <w:rPr>
          <w:rFonts w:hint="eastAsia" w:ascii="仿宋_GB2312" w:hAnsi="仿宋_GB2312" w:eastAsia="仿宋_GB2312" w:cs="仿宋_GB2312"/>
          <w:sz w:val="32"/>
          <w:szCs w:val="32"/>
        </w:rPr>
        <w:t>万元。</w:t>
      </w:r>
    </w:p>
    <w:p>
      <w:pPr>
        <w:pageBreakBefore w:val="0"/>
        <w:kinsoku/>
        <w:wordWrap/>
        <w:overflowPunct/>
        <w:topLinePunct w:val="0"/>
        <w:autoSpaceDE/>
        <w:autoSpaceDN/>
        <w:bidi w:val="0"/>
        <w:adjustRightInd/>
        <w:snapToGrid/>
        <w:spacing w:line="600" w:lineRule="exact"/>
        <w:ind w:firstLine="648"/>
        <w:rPr>
          <w:rFonts w:hint="eastAsia" w:ascii="楷体" w:hAnsi="楷体" w:eastAsia="楷体" w:cs="楷体"/>
          <w:sz w:val="32"/>
          <w:szCs w:val="32"/>
        </w:rPr>
      </w:pPr>
      <w:r>
        <w:rPr>
          <w:rFonts w:hint="eastAsia" w:ascii="楷体" w:hAnsi="楷体" w:eastAsia="楷体" w:cs="楷体"/>
          <w:sz w:val="32"/>
          <w:szCs w:val="32"/>
        </w:rPr>
        <w:t xml:space="preserve">3.体育产业经营 </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2</w:t>
      </w:r>
      <w:r>
        <w:rPr>
          <w:rFonts w:ascii="仿宋" w:hAnsi="仿宋" w:eastAsia="仿宋" w:cs="仿宋"/>
          <w:sz w:val="32"/>
          <w:szCs w:val="32"/>
        </w:rPr>
        <w:t>022</w:t>
      </w:r>
      <w:r>
        <w:rPr>
          <w:rFonts w:hint="eastAsia" w:ascii="仿宋" w:hAnsi="仿宋" w:eastAsia="仿宋" w:cs="仿宋"/>
          <w:sz w:val="32"/>
          <w:szCs w:val="32"/>
        </w:rPr>
        <w:t>年，梭鱼湾公司将在现有基础上继续整合梭鱼湾商务区资源，配合土地发展集团战略，推进体育产业经营领域探索，开拓新的经营项目，开展体育、文旅项目的前期工作，培养商务区体育主题相关产业经营氛围，为以后的经营夯实基础。其中包括：</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（1）梭鱼湾专业足球场经营项目配套服务，梭鱼湾公司2</w:t>
      </w:r>
      <w:r>
        <w:rPr>
          <w:rFonts w:ascii="仿宋" w:hAnsi="仿宋" w:eastAsia="仿宋" w:cs="仿宋"/>
          <w:sz w:val="32"/>
          <w:szCs w:val="32"/>
        </w:rPr>
        <w:t>020</w:t>
      </w:r>
      <w:r>
        <w:rPr>
          <w:rFonts w:hint="eastAsia" w:ascii="仿宋" w:hAnsi="仿宋" w:eastAsia="仿宋" w:cs="仿宋"/>
          <w:sz w:val="32"/>
          <w:szCs w:val="32"/>
        </w:rPr>
        <w:t>年将在今年商务区内物业服务项目开展的基础上，打造一支专业的服务团队，整合区内各方面物业服务资源，依托土地发展集团项目资源，配合梭鱼湾专业足球场运营项目的服务需求，大力开展体育产业项目经营服务，实现体育产业经营收入。</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（2）开展体育俱乐部经营</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梭鱼湾公司2</w:t>
      </w:r>
      <w:r>
        <w:rPr>
          <w:rFonts w:ascii="仿宋" w:hAnsi="仿宋" w:eastAsia="仿宋" w:cs="仿宋"/>
          <w:sz w:val="32"/>
          <w:szCs w:val="32"/>
        </w:rPr>
        <w:t>020</w:t>
      </w:r>
      <w:r>
        <w:rPr>
          <w:rFonts w:hint="eastAsia" w:ascii="仿宋" w:hAnsi="仿宋" w:eastAsia="仿宋" w:cs="仿宋"/>
          <w:sz w:val="32"/>
          <w:szCs w:val="32"/>
        </w:rPr>
        <w:t>年计划利用梭鱼湾公司工会成立体育俱乐部，落实土地发展集团统一战略布局，配合将梭鱼湾商务区打造成体育主题园区的工作部署，积极开展面向商务区居民的体育基础设施配套建设、群众体育赛事组织、青少年体育运动培训等经营探索，利用梭鱼湾专业足球场项目资源，与全国各体育项目公司开展合作，结合自身优势开展体育项目经营推广工作，实现富余人员的成本转化，为亚洲杯后的体育产业经营锻炼队伍。同时，梭鱼湾公司可以向体育俱乐部收取管理的形式实现体育产业营业收入。</w:t>
      </w:r>
    </w:p>
    <w:p>
      <w:pPr>
        <w:pageBreakBefore w:val="0"/>
        <w:kinsoku/>
        <w:wordWrap/>
        <w:overflowPunct/>
        <w:topLinePunct w:val="0"/>
        <w:autoSpaceDE/>
        <w:autoSpaceDN/>
        <w:bidi w:val="0"/>
        <w:adjustRightInd/>
        <w:snapToGrid/>
        <w:spacing w:line="600" w:lineRule="exact"/>
        <w:ind w:firstLine="648"/>
        <w:rPr>
          <w:rFonts w:hint="eastAsia" w:ascii="楷体" w:hAnsi="楷体" w:eastAsia="楷体" w:cs="楷体"/>
          <w:sz w:val="32"/>
          <w:szCs w:val="32"/>
        </w:rPr>
      </w:pPr>
      <w:r>
        <w:rPr>
          <w:rFonts w:hint="eastAsia" w:ascii="楷体" w:hAnsi="楷体" w:eastAsia="楷体" w:cs="楷体"/>
          <w:sz w:val="32"/>
          <w:szCs w:val="32"/>
        </w:rPr>
        <w:t>4.计划完成物业服务收入150万元</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ascii="仿宋" w:hAnsi="仿宋" w:eastAsia="仿宋" w:cs="仿宋"/>
          <w:sz w:val="32"/>
          <w:szCs w:val="32"/>
        </w:rPr>
        <w:t>2021</w:t>
      </w:r>
      <w:r>
        <w:rPr>
          <w:rFonts w:hint="eastAsia" w:ascii="仿宋" w:hAnsi="仿宋" w:eastAsia="仿宋" w:cs="仿宋"/>
          <w:sz w:val="32"/>
          <w:szCs w:val="32"/>
        </w:rPr>
        <w:t>年，梭鱼湾公司完成物业服务收入1</w:t>
      </w:r>
      <w:r>
        <w:rPr>
          <w:rFonts w:ascii="仿宋" w:hAnsi="仿宋" w:eastAsia="仿宋" w:cs="仿宋"/>
          <w:sz w:val="32"/>
          <w:szCs w:val="32"/>
        </w:rPr>
        <w:t>43</w:t>
      </w:r>
      <w:r>
        <w:rPr>
          <w:rFonts w:hint="eastAsia" w:ascii="仿宋" w:hAnsi="仿宋" w:eastAsia="仿宋" w:cs="仿宋"/>
          <w:sz w:val="32"/>
          <w:szCs w:val="32"/>
        </w:rPr>
        <w:t>万元，2</w:t>
      </w:r>
      <w:r>
        <w:rPr>
          <w:rFonts w:ascii="仿宋" w:hAnsi="仿宋" w:eastAsia="仿宋" w:cs="仿宋"/>
          <w:sz w:val="32"/>
          <w:szCs w:val="32"/>
        </w:rPr>
        <w:t>022</w:t>
      </w:r>
      <w:r>
        <w:rPr>
          <w:rFonts w:hint="eastAsia" w:ascii="仿宋" w:hAnsi="仿宋" w:eastAsia="仿宋" w:cs="仿宋"/>
          <w:sz w:val="32"/>
          <w:szCs w:val="32"/>
        </w:rPr>
        <w:t>年，梭鱼湾公司将在此基础上完善物业经营管理团队，稳扎稳打，继续开拓服务项目，计划开发地铁集团控制中心大厦、地铁梭鱼湾站区间的物业服务项目，力争2</w:t>
      </w:r>
      <w:r>
        <w:rPr>
          <w:rFonts w:ascii="仿宋" w:hAnsi="仿宋" w:eastAsia="仿宋" w:cs="仿宋"/>
          <w:sz w:val="32"/>
          <w:szCs w:val="32"/>
        </w:rPr>
        <w:t>022</w:t>
      </w:r>
      <w:r>
        <w:rPr>
          <w:rFonts w:hint="eastAsia" w:ascii="仿宋" w:hAnsi="仿宋" w:eastAsia="仿宋" w:cs="仿宋"/>
          <w:sz w:val="32"/>
          <w:szCs w:val="32"/>
        </w:rPr>
        <w:t>年全年完成营业收入1</w:t>
      </w:r>
      <w:r>
        <w:rPr>
          <w:rFonts w:ascii="仿宋" w:hAnsi="仿宋" w:eastAsia="仿宋" w:cs="仿宋"/>
          <w:sz w:val="32"/>
          <w:szCs w:val="32"/>
        </w:rPr>
        <w:t>50</w:t>
      </w:r>
      <w:r>
        <w:rPr>
          <w:rFonts w:hint="eastAsia" w:ascii="仿宋" w:hAnsi="仿宋" w:eastAsia="仿宋" w:cs="仿宋"/>
          <w:sz w:val="32"/>
          <w:szCs w:val="32"/>
        </w:rPr>
        <w:t>万元。</w:t>
      </w:r>
    </w:p>
    <w:p>
      <w:pPr>
        <w:pageBreakBefore w:val="0"/>
        <w:kinsoku/>
        <w:wordWrap/>
        <w:overflowPunct/>
        <w:topLinePunct w:val="0"/>
        <w:autoSpaceDE/>
        <w:autoSpaceDN/>
        <w:bidi w:val="0"/>
        <w:adjustRightInd/>
        <w:snapToGrid/>
        <w:spacing w:line="600" w:lineRule="exact"/>
        <w:ind w:firstLine="648"/>
        <w:rPr>
          <w:rFonts w:hint="eastAsia" w:ascii="楷体" w:hAnsi="楷体" w:eastAsia="楷体" w:cs="楷体"/>
          <w:sz w:val="32"/>
          <w:szCs w:val="32"/>
        </w:rPr>
      </w:pPr>
      <w:r>
        <w:rPr>
          <w:rFonts w:hint="eastAsia" w:ascii="楷体" w:hAnsi="楷体" w:eastAsia="楷体" w:cs="楷体"/>
          <w:sz w:val="32"/>
          <w:szCs w:val="32"/>
        </w:rPr>
        <w:t>5.其它管理服务收入200万元</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其他管理服务收入含乌审旗项目人员管理服务收入、场地看护管理服务收入、未来里办公区域出租管理收入等，计划完成收入</w:t>
      </w:r>
      <w:r>
        <w:rPr>
          <w:rFonts w:ascii="仿宋" w:hAnsi="仿宋" w:eastAsia="仿宋" w:cs="仿宋"/>
          <w:sz w:val="32"/>
          <w:szCs w:val="32"/>
        </w:rPr>
        <w:t>200</w:t>
      </w:r>
      <w:r>
        <w:rPr>
          <w:rFonts w:hint="eastAsia" w:ascii="仿宋" w:hAnsi="仿宋" w:eastAsia="仿宋" w:cs="仿宋"/>
          <w:sz w:val="32"/>
          <w:szCs w:val="32"/>
        </w:rPr>
        <w:t>万元。</w:t>
      </w:r>
    </w:p>
    <w:p>
      <w:pPr>
        <w:pageBreakBefore w:val="0"/>
        <w:kinsoku/>
        <w:wordWrap/>
        <w:overflowPunct/>
        <w:topLinePunct w:val="0"/>
        <w:autoSpaceDE/>
        <w:autoSpaceDN/>
        <w:bidi w:val="0"/>
        <w:adjustRightInd/>
        <w:snapToGrid/>
        <w:spacing w:line="600" w:lineRule="exact"/>
        <w:ind w:firstLine="648"/>
        <w:rPr>
          <w:rFonts w:ascii="仿宋" w:hAnsi="仿宋" w:eastAsia="仿宋" w:cs="仿宋"/>
          <w:sz w:val="32"/>
          <w:szCs w:val="32"/>
        </w:rPr>
      </w:pPr>
      <w:r>
        <w:rPr>
          <w:rFonts w:hint="eastAsia" w:ascii="仿宋" w:hAnsi="仿宋" w:eastAsia="仿宋" w:cs="仿宋"/>
          <w:sz w:val="32"/>
          <w:szCs w:val="32"/>
        </w:rPr>
        <w:t>综上所述，2022年梭鱼湾公司各经营项目合计计划完成营业收入</w:t>
      </w:r>
      <w:r>
        <w:rPr>
          <w:rFonts w:ascii="仿宋" w:hAnsi="仿宋" w:eastAsia="仿宋" w:cs="仿宋"/>
          <w:sz w:val="32"/>
          <w:szCs w:val="32"/>
        </w:rPr>
        <w:t>6499</w:t>
      </w:r>
      <w:r>
        <w:rPr>
          <w:rFonts w:hint="eastAsia" w:ascii="仿宋" w:hAnsi="仿宋" w:eastAsia="仿宋" w:cs="仿宋"/>
          <w:sz w:val="32"/>
          <w:szCs w:val="32"/>
        </w:rPr>
        <w:t>万元（其中新项目营业收入预计为3</w:t>
      </w:r>
      <w:r>
        <w:rPr>
          <w:rFonts w:ascii="仿宋" w:hAnsi="仿宋" w:eastAsia="仿宋" w:cs="仿宋"/>
          <w:sz w:val="32"/>
          <w:szCs w:val="32"/>
        </w:rPr>
        <w:t>850</w:t>
      </w:r>
      <w:r>
        <w:rPr>
          <w:rFonts w:hint="eastAsia" w:ascii="仿宋" w:hAnsi="仿宋" w:eastAsia="仿宋" w:cs="仿宋"/>
          <w:sz w:val="32"/>
          <w:szCs w:val="32"/>
        </w:rPr>
        <w:t>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87"/>
        <w:gridCol w:w="4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b/>
                <w:bCs/>
                <w:sz w:val="32"/>
                <w:szCs w:val="32"/>
              </w:rPr>
            </w:pPr>
            <w:r>
              <w:rPr>
                <w:rFonts w:hint="eastAsia" w:ascii="仿宋" w:hAnsi="仿宋" w:eastAsia="仿宋" w:cs="仿宋"/>
                <w:b/>
                <w:bCs/>
                <w:sz w:val="32"/>
                <w:szCs w:val="32"/>
              </w:rPr>
              <w:t>项目名称</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b/>
                <w:bCs/>
                <w:sz w:val="32"/>
                <w:szCs w:val="32"/>
              </w:rPr>
            </w:pPr>
            <w:r>
              <w:rPr>
                <w:rFonts w:hint="eastAsia" w:ascii="仿宋" w:hAnsi="仿宋" w:eastAsia="仿宋" w:cs="仿宋"/>
                <w:b/>
                <w:bCs/>
                <w:sz w:val="32"/>
                <w:szCs w:val="3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r>
              <w:rPr>
                <w:rFonts w:hint="eastAsia" w:ascii="仿宋" w:hAnsi="仿宋" w:eastAsia="仿宋" w:cs="仿宋"/>
                <w:sz w:val="32"/>
                <w:szCs w:val="32"/>
              </w:rPr>
              <w:t>施工项目</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r>
              <w:rPr>
                <w:rFonts w:hint="eastAsia" w:ascii="仿宋" w:hAnsi="仿宋" w:eastAsia="仿宋" w:cs="仿宋"/>
                <w:sz w:val="32"/>
                <w:szCs w:val="32"/>
              </w:rPr>
              <w:t>污染土项目</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hint="eastAsia" w:ascii="仿宋" w:hAnsi="仿宋" w:eastAsia="仿宋" w:cs="仿宋"/>
                <w:sz w:val="32"/>
                <w:szCs w:val="32"/>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r>
              <w:rPr>
                <w:rFonts w:hint="eastAsia" w:ascii="仿宋" w:hAnsi="仿宋" w:eastAsia="仿宋" w:cs="仿宋"/>
                <w:sz w:val="32"/>
                <w:szCs w:val="32"/>
              </w:rPr>
              <w:t>物业服务</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hint="eastAsia" w:ascii="仿宋" w:hAnsi="仿宋" w:eastAsia="仿宋" w:cs="仿宋"/>
                <w:sz w:val="32"/>
                <w:szCs w:val="3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r>
              <w:rPr>
                <w:rFonts w:hint="eastAsia" w:ascii="仿宋" w:hAnsi="仿宋" w:eastAsia="仿宋" w:cs="仿宋"/>
                <w:sz w:val="32"/>
                <w:szCs w:val="32"/>
              </w:rPr>
              <w:t>其他管理服务收入</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hint="eastAsia" w:ascii="仿宋" w:hAnsi="仿宋" w:eastAsia="仿宋" w:cs="仿宋"/>
                <w:sz w:val="32"/>
                <w:szCs w:val="32"/>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hint="eastAsia" w:ascii="仿宋" w:hAnsi="仿宋" w:eastAsia="仿宋" w:cs="仿宋"/>
                <w:b/>
                <w:bCs/>
                <w:sz w:val="32"/>
                <w:szCs w:val="32"/>
              </w:rPr>
              <w:t>合计</w:t>
            </w:r>
          </w:p>
        </w:tc>
        <w:tc>
          <w:tcPr>
            <w:tcW w:w="4587" w:type="dxa"/>
          </w:tcPr>
          <w:p>
            <w:pPr>
              <w:pageBreakBefore w:val="0"/>
              <w:kinsoku/>
              <w:wordWrap/>
              <w:overflowPunct/>
              <w:topLinePunct w:val="0"/>
              <w:autoSpaceDE/>
              <w:autoSpaceDN/>
              <w:bidi w:val="0"/>
              <w:adjustRightInd/>
              <w:snapToGrid/>
              <w:spacing w:line="600" w:lineRule="exact"/>
              <w:jc w:val="center"/>
              <w:rPr>
                <w:rFonts w:ascii="仿宋" w:hAnsi="仿宋" w:eastAsia="仿宋" w:cs="仿宋"/>
                <w:sz w:val="32"/>
                <w:szCs w:val="32"/>
              </w:rPr>
            </w:pPr>
            <w:r>
              <w:rPr>
                <w:rFonts w:ascii="仿宋" w:hAnsi="仿宋" w:eastAsia="仿宋" w:cs="仿宋"/>
                <w:sz w:val="32"/>
                <w:szCs w:val="32"/>
              </w:rPr>
              <w:t>6499</w:t>
            </w:r>
          </w:p>
        </w:tc>
      </w:tr>
    </w:tbl>
    <w:p>
      <w:pPr>
        <w:pageBreakBefore w:val="0"/>
        <w:kinsoku/>
        <w:wordWrap/>
        <w:overflowPunct/>
        <w:topLinePunct w:val="0"/>
        <w:autoSpaceDE/>
        <w:autoSpaceDN/>
        <w:bidi w:val="0"/>
        <w:adjustRightInd/>
        <w:snapToGrid/>
        <w:spacing w:line="600" w:lineRule="exact"/>
        <w:rPr>
          <w:rFonts w:ascii="仿宋" w:hAnsi="仿宋" w:eastAsia="仿宋" w:cs="仿宋"/>
          <w:sz w:val="32"/>
          <w:szCs w:val="32"/>
        </w:rPr>
      </w:pP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三、商务区基础设施配套工程计划</w:t>
      </w:r>
    </w:p>
    <w:p>
      <w:pPr>
        <w:pageBreakBefore w:val="0"/>
        <w:kinsoku/>
        <w:wordWrap/>
        <w:overflowPunct/>
        <w:topLinePunct w:val="0"/>
        <w:autoSpaceDE/>
        <w:autoSpaceDN/>
        <w:bidi w:val="0"/>
        <w:adjustRightInd/>
        <w:snapToGrid/>
        <w:spacing w:line="60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计划完成2号污水泵站施工及相关档案备案。</w:t>
      </w:r>
    </w:p>
    <w:p>
      <w:pPr>
        <w:pageBreakBefore w:val="0"/>
        <w:kinsoku/>
        <w:wordWrap/>
        <w:overflowPunct/>
        <w:topLinePunct w:val="0"/>
        <w:autoSpaceDE/>
        <w:autoSpaceDN/>
        <w:bidi w:val="0"/>
        <w:adjustRightInd/>
        <w:snapToGrid/>
        <w:spacing w:line="6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计划组织防台防汛和消防演习及3次安全生产培训。</w:t>
      </w:r>
    </w:p>
    <w:p>
      <w:pPr>
        <w:pageBreakBefore w:val="0"/>
        <w:kinsoku/>
        <w:wordWrap/>
        <w:overflowPunct/>
        <w:topLinePunct w:val="0"/>
        <w:autoSpaceDE/>
        <w:autoSpaceDN/>
        <w:bidi w:val="0"/>
        <w:adjustRightInd/>
        <w:snapToGrid/>
        <w:spacing w:line="60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.计划完成综合管廊修复及验收备案。</w:t>
      </w: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四、加强商务区现场看护工作</w:t>
      </w:r>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1.进一步</w:t>
      </w:r>
      <w:bookmarkStart w:id="2" w:name="_Hlk41845213"/>
      <w:r>
        <w:rPr>
          <w:rFonts w:hint="eastAsia" w:ascii="楷体" w:hAnsi="楷体" w:eastAsia="楷体" w:cs="楷体"/>
          <w:sz w:val="32"/>
          <w:szCs w:val="32"/>
        </w:rPr>
        <w:t>完善应急预案采取多种措施应对扬尘污染</w:t>
      </w:r>
      <w:bookmarkEnd w:id="2"/>
    </w:p>
    <w:p>
      <w:pPr>
        <w:pageBreakBefore w:val="0"/>
        <w:kinsoku/>
        <w:wordWrap/>
        <w:overflowPunct/>
        <w:topLinePunct w:val="0"/>
        <w:autoSpaceDE/>
        <w:autoSpaceDN/>
        <w:bidi w:val="0"/>
        <w:adjustRightInd/>
        <w:snapToGrid/>
        <w:spacing w:line="600" w:lineRule="exact"/>
        <w:ind w:firstLine="640" w:firstLineChars="200"/>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）针对春秋季节大风天气，</w:t>
      </w:r>
      <w:bookmarkStart w:id="3" w:name="_Hlk41844518"/>
      <w:r>
        <w:rPr>
          <w:rFonts w:ascii="仿宋" w:hAnsi="仿宋" w:eastAsia="仿宋"/>
          <w:sz w:val="32"/>
          <w:szCs w:val="32"/>
        </w:rPr>
        <w:t>6级以上大风及重污染日时</w:t>
      </w:r>
      <w:r>
        <w:rPr>
          <w:rFonts w:hint="eastAsia" w:ascii="仿宋" w:hAnsi="仿宋" w:eastAsia="仿宋"/>
          <w:sz w:val="32"/>
          <w:szCs w:val="32"/>
        </w:rPr>
        <w:t>将启动应急预案，</w:t>
      </w:r>
      <w:r>
        <w:rPr>
          <w:rFonts w:ascii="仿宋" w:hAnsi="仿宋" w:eastAsia="仿宋"/>
          <w:sz w:val="32"/>
          <w:szCs w:val="32"/>
        </w:rPr>
        <w:t>通知生产施工单位停止土石方作业，增加洒水频次，确保</w:t>
      </w:r>
      <w:r>
        <w:rPr>
          <w:rFonts w:hint="eastAsia" w:ascii="仿宋" w:hAnsi="仿宋" w:eastAsia="仿宋"/>
          <w:sz w:val="32"/>
          <w:szCs w:val="32"/>
        </w:rPr>
        <w:t>降尘</w:t>
      </w:r>
      <w:r>
        <w:rPr>
          <w:rFonts w:ascii="仿宋" w:hAnsi="仿宋" w:eastAsia="仿宋"/>
          <w:sz w:val="32"/>
          <w:szCs w:val="32"/>
        </w:rPr>
        <w:t>措施落实到位。梭鱼湾公司</w:t>
      </w:r>
      <w:r>
        <w:rPr>
          <w:rFonts w:hint="eastAsia" w:ascii="仿宋" w:hAnsi="仿宋" w:eastAsia="仿宋"/>
          <w:sz w:val="32"/>
          <w:szCs w:val="32"/>
        </w:rPr>
        <w:t>将</w:t>
      </w:r>
      <w:r>
        <w:rPr>
          <w:rFonts w:ascii="仿宋" w:hAnsi="仿宋" w:eastAsia="仿宋"/>
          <w:sz w:val="32"/>
          <w:szCs w:val="32"/>
        </w:rPr>
        <w:t>根据现场巡查发现的</w:t>
      </w:r>
      <w:r>
        <w:rPr>
          <w:rFonts w:hint="eastAsia" w:ascii="仿宋" w:hAnsi="仿宋" w:eastAsia="仿宋"/>
          <w:sz w:val="32"/>
          <w:szCs w:val="32"/>
        </w:rPr>
        <w:t>扬尘</w:t>
      </w:r>
      <w:r>
        <w:rPr>
          <w:rFonts w:ascii="仿宋" w:hAnsi="仿宋" w:eastAsia="仿宋"/>
          <w:sz w:val="32"/>
          <w:szCs w:val="32"/>
        </w:rPr>
        <w:t>问题随时进行应急洒水降尘。</w:t>
      </w:r>
      <w:bookmarkEnd w:id="3"/>
    </w:p>
    <w:p>
      <w:pPr>
        <w:pageBreakBefore w:val="0"/>
        <w:kinsoku/>
        <w:wordWrap/>
        <w:overflowPunct/>
        <w:topLinePunct w:val="0"/>
        <w:autoSpaceDE/>
        <w:autoSpaceDN/>
        <w:bidi w:val="0"/>
        <w:adjustRightInd/>
        <w:snapToGrid/>
        <w:spacing w:line="600" w:lineRule="exact"/>
        <w:ind w:firstLine="640" w:firstLineChars="200"/>
        <w:jc w:val="left"/>
        <w:rPr>
          <w:rFonts w:ascii="仿宋" w:hAnsi="仿宋" w:eastAsia="仿宋"/>
          <w:sz w:val="32"/>
          <w:szCs w:val="32"/>
        </w:rPr>
      </w:pPr>
      <w:r>
        <w:rPr>
          <w:rFonts w:hint="eastAsia" w:ascii="仿宋" w:hAnsi="仿宋" w:eastAsia="仿宋"/>
          <w:sz w:val="32"/>
          <w:szCs w:val="32"/>
        </w:rPr>
        <w:t>（</w:t>
      </w:r>
      <w:r>
        <w:rPr>
          <w:rFonts w:ascii="仿宋" w:hAnsi="仿宋" w:eastAsia="仿宋"/>
          <w:sz w:val="32"/>
          <w:szCs w:val="32"/>
        </w:rPr>
        <w:t>2</w:t>
      </w:r>
      <w:bookmarkStart w:id="4" w:name="_Hlk41844674"/>
      <w:r>
        <w:rPr>
          <w:rFonts w:hint="eastAsia" w:ascii="仿宋" w:hAnsi="仿宋" w:eastAsia="仿宋"/>
          <w:sz w:val="32"/>
          <w:szCs w:val="32"/>
        </w:rPr>
        <w:t>）将每日巡查区内主要道路，对各参建单位施工车辆进行抽查，严防沿途漏撒，严控扬尘。对达不到污染防治要求的参建单位，一律要求停工处理，待扬尘防治达标后再复工。</w:t>
      </w:r>
      <w:bookmarkEnd w:id="4"/>
    </w:p>
    <w:p>
      <w:pPr>
        <w:pageBreakBefore w:val="0"/>
        <w:kinsoku/>
        <w:wordWrap/>
        <w:overflowPunct/>
        <w:topLinePunct w:val="0"/>
        <w:autoSpaceDE/>
        <w:autoSpaceDN/>
        <w:bidi w:val="0"/>
        <w:adjustRightInd/>
        <w:snapToGrid/>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2.商务区安全生产管理</w:t>
      </w:r>
    </w:p>
    <w:p>
      <w:pPr>
        <w:pageBreakBefore w:val="0"/>
        <w:kinsoku/>
        <w:wordWrap/>
        <w:overflowPunct/>
        <w:topLinePunct w:val="0"/>
        <w:autoSpaceDE/>
        <w:autoSpaceDN/>
        <w:bidi w:val="0"/>
        <w:adjustRightInd/>
        <w:snapToGrid/>
        <w:spacing w:line="600" w:lineRule="exact"/>
        <w:ind w:firstLine="640" w:firstLineChars="200"/>
        <w:rPr>
          <w:rFonts w:ascii="仿宋_GB2312" w:eastAsia="仿宋_GB2312"/>
          <w:sz w:val="32"/>
          <w:szCs w:val="32"/>
        </w:rPr>
      </w:pPr>
      <w:r>
        <w:rPr>
          <w:rFonts w:hint="eastAsia" w:ascii="仿宋_GB2312" w:eastAsia="仿宋_GB2312"/>
          <w:sz w:val="32"/>
          <w:szCs w:val="32"/>
        </w:rPr>
        <w:t>（1）针对商务区内参建单位施工生产安全特点，根据《商务区生产安全应急预案》、《商务区预防火灾及应急预案》，深入到施工及租赁单位生活区、办公区、仓储区等重点部位检查预防火灾、安全用电、易燃易爆等安全工作落实情况，一旦发现安全隐患，责令限期改正。</w:t>
      </w:r>
    </w:p>
    <w:p>
      <w:pPr>
        <w:pageBreakBefore w:val="0"/>
        <w:tabs>
          <w:tab w:val="center" w:pos="4153"/>
        </w:tabs>
        <w:kinsoku/>
        <w:wordWrap/>
        <w:overflowPunct/>
        <w:topLinePunct w:val="0"/>
        <w:autoSpaceDE/>
        <w:autoSpaceDN/>
        <w:bidi w:val="0"/>
        <w:adjustRightInd/>
        <w:snapToGrid/>
        <w:spacing w:line="600" w:lineRule="exact"/>
        <w:ind w:firstLine="640" w:firstLineChars="200"/>
        <w:rPr>
          <w:rFonts w:ascii="仿宋_GB2312" w:eastAsia="仿宋_GB2312"/>
          <w:sz w:val="32"/>
          <w:szCs w:val="32"/>
        </w:rPr>
      </w:pPr>
      <w:r>
        <w:rPr>
          <w:rFonts w:hint="eastAsia" w:ascii="仿宋_GB2312" w:eastAsia="仿宋_GB2312"/>
          <w:sz w:val="32"/>
          <w:szCs w:val="32"/>
        </w:rPr>
        <w:t>（2）根据《省市关于高温天气应对工作的紧急通知》，通知各有关单位采取积极有效的防范应对措施，做好区域内高温天气防御应对工作。</w:t>
      </w:r>
    </w:p>
    <w:p>
      <w:pPr>
        <w:pageBreakBefore w:val="0"/>
        <w:kinsoku/>
        <w:wordWrap/>
        <w:overflowPunct/>
        <w:topLinePunct w:val="0"/>
        <w:autoSpaceDE/>
        <w:autoSpaceDN/>
        <w:bidi w:val="0"/>
        <w:adjustRightInd/>
        <w:snapToGrid/>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五、进一步推进企业文化建设</w:t>
      </w:r>
    </w:p>
    <w:p>
      <w:pPr>
        <w:pStyle w:val="7"/>
        <w:pageBreakBefore w:val="0"/>
        <w:kinsoku/>
        <w:wordWrap/>
        <w:overflowPunct/>
        <w:topLinePunct w:val="0"/>
        <w:autoSpaceDE/>
        <w:autoSpaceDN/>
        <w:bidi w:val="0"/>
        <w:adjustRightInd/>
        <w:snapToGrid/>
        <w:spacing w:before="0" w:beforeAutospacing="0" w:after="0" w:afterAutospacing="0" w:line="600" w:lineRule="exact"/>
        <w:ind w:firstLine="640" w:firstLineChars="200"/>
        <w:jc w:val="both"/>
        <w:rPr>
          <w:rFonts w:hint="eastAsia" w:ascii="仿宋" w:hAnsi="仿宋" w:eastAsia="仿宋" w:cs="仿宋_GB2312"/>
          <w:color w:val="000000"/>
          <w:sz w:val="32"/>
          <w:szCs w:val="32"/>
        </w:rPr>
      </w:pPr>
      <w:r>
        <w:rPr>
          <w:rFonts w:hint="eastAsia" w:ascii="仿宋" w:hAnsi="仿宋" w:eastAsia="仿宋" w:cs="仿宋_GB2312"/>
          <w:color w:val="000000"/>
          <w:sz w:val="32"/>
          <w:szCs w:val="32"/>
        </w:rPr>
        <w:t>切实结合</w:t>
      </w:r>
      <w:r>
        <w:rPr>
          <w:rFonts w:ascii="仿宋" w:hAnsi="仿宋" w:eastAsia="仿宋" w:cs="仿宋_GB2312"/>
          <w:color w:val="000000"/>
          <w:sz w:val="32"/>
          <w:szCs w:val="32"/>
        </w:rPr>
        <w:t>2022</w:t>
      </w:r>
      <w:r>
        <w:rPr>
          <w:rFonts w:hint="eastAsia" w:ascii="仿宋" w:hAnsi="仿宋" w:eastAsia="仿宋" w:cs="仿宋_GB2312"/>
          <w:color w:val="000000"/>
          <w:sz w:val="32"/>
          <w:szCs w:val="32"/>
        </w:rPr>
        <w:t>年公司经营方向战略转型实际情况，配合梭鱼湾公司党支部建设、工会委员会，增强团队凝聚力，提升团队合作意识。组织公司全体员工加强政治学习、业务学习，制订相应的奖励措施鼓励全体员工积极参加与公司发展、自身工作相关的资格认证考试，提升自身业务素质。进一步培养团队意识和岗位竞争意识，增强企业凝聚力。</w:t>
      </w:r>
    </w:p>
    <w:p>
      <w:pPr>
        <w:pStyle w:val="7"/>
        <w:pageBreakBefore w:val="0"/>
        <w:kinsoku/>
        <w:wordWrap/>
        <w:overflowPunct/>
        <w:topLinePunct w:val="0"/>
        <w:autoSpaceDE/>
        <w:autoSpaceDN/>
        <w:bidi w:val="0"/>
        <w:adjustRightInd/>
        <w:snapToGrid/>
        <w:spacing w:before="0" w:beforeAutospacing="0" w:after="0" w:afterAutospacing="0" w:line="600" w:lineRule="exact"/>
        <w:jc w:val="both"/>
        <w:rPr>
          <w:rFonts w:hint="eastAsia" w:ascii="仿宋" w:hAnsi="仿宋" w:eastAsia="仿宋" w:cs="仿宋_GB2312"/>
          <w:color w:val="000000"/>
          <w:sz w:val="32"/>
          <w:szCs w:val="32"/>
        </w:rPr>
      </w:pPr>
    </w:p>
    <w:p/>
    <w:p/>
    <w:p>
      <w:pPr>
        <w:jc w:val="right"/>
        <w:rPr>
          <w:rFonts w:ascii="仿宋" w:hAnsi="仿宋" w:eastAsia="仿宋"/>
          <w:sz w:val="32"/>
          <w:szCs w:val="32"/>
        </w:rPr>
      </w:pPr>
      <w:r>
        <w:rPr>
          <w:rFonts w:hint="eastAsia"/>
        </w:rPr>
        <w:t xml:space="preserve"> </w:t>
      </w:r>
      <w:r>
        <w:t xml:space="preserve">                    </w:t>
      </w:r>
      <w:r>
        <w:rPr>
          <w:rFonts w:hint="eastAsia" w:ascii="仿宋" w:hAnsi="仿宋" w:eastAsia="仿宋"/>
          <w:sz w:val="32"/>
          <w:szCs w:val="32"/>
        </w:rPr>
        <w:t>大连梭鱼湾商务区开发建设有限责任公司</w:t>
      </w:r>
    </w:p>
    <w:p>
      <w:pPr>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 xml:space="preserve">     </w:t>
      </w:r>
      <w:r>
        <w:rPr>
          <w:rFonts w:ascii="仿宋" w:hAnsi="仿宋" w:eastAsia="仿宋"/>
          <w:sz w:val="32"/>
          <w:szCs w:val="32"/>
        </w:rPr>
        <w:t xml:space="preserve"> </w:t>
      </w:r>
      <w:r>
        <w:rPr>
          <w:rFonts w:hint="eastAsia" w:ascii="仿宋" w:hAnsi="仿宋" w:eastAsia="仿宋"/>
          <w:sz w:val="32"/>
          <w:szCs w:val="32"/>
        </w:rPr>
        <w:t>202</w:t>
      </w:r>
      <w:r>
        <w:rPr>
          <w:rFonts w:ascii="仿宋" w:hAnsi="仿宋" w:eastAsia="仿宋"/>
          <w:sz w:val="32"/>
          <w:szCs w:val="32"/>
        </w:rPr>
        <w:t>0</w:t>
      </w:r>
      <w:r>
        <w:rPr>
          <w:rFonts w:hint="eastAsia" w:ascii="仿宋" w:hAnsi="仿宋" w:eastAsia="仿宋"/>
          <w:sz w:val="32"/>
          <w:szCs w:val="32"/>
        </w:rPr>
        <w:t>年</w:t>
      </w:r>
      <w:r>
        <w:rPr>
          <w:rFonts w:ascii="仿宋" w:hAnsi="仿宋" w:eastAsia="仿宋"/>
          <w:sz w:val="32"/>
          <w:szCs w:val="32"/>
        </w:rPr>
        <w:t>1</w:t>
      </w:r>
      <w:r>
        <w:rPr>
          <w:rFonts w:hint="eastAsia" w:ascii="仿宋" w:hAnsi="仿宋" w:eastAsia="仿宋"/>
          <w:sz w:val="32"/>
          <w:szCs w:val="32"/>
        </w:rPr>
        <w:t>月</w:t>
      </w:r>
      <w:r>
        <w:rPr>
          <w:rFonts w:ascii="仿宋" w:hAnsi="仿宋" w:eastAsia="仿宋"/>
          <w:sz w:val="32"/>
          <w:szCs w:val="32"/>
        </w:rPr>
        <w:t>20</w:t>
      </w:r>
      <w:r>
        <w:rPr>
          <w:rFonts w:hint="eastAsia" w:ascii="仿宋" w:hAnsi="仿宋" w:eastAsia="仿宋"/>
          <w:sz w:val="32"/>
          <w:szCs w:val="32"/>
        </w:rPr>
        <w:t>日</w:t>
      </w:r>
    </w:p>
    <w:p/>
    <w:p>
      <w:pPr>
        <w:pStyle w:val="3"/>
        <w:spacing w:before="0" w:after="0" w:line="540" w:lineRule="exact"/>
        <w:jc w:val="center"/>
        <w:rPr>
          <w:rFonts w:ascii="仿宋" w:hAnsi="仿宋" w:eastAsia="仿宋"/>
          <w:szCs w:val="32"/>
        </w:rPr>
      </w:pPr>
    </w:p>
    <w:sectPr>
      <w:footerReference r:id="rId3" w:type="default"/>
      <w:pgSz w:w="11906" w:h="16838"/>
      <w:pgMar w:top="1440" w:right="1474" w:bottom="1440" w:left="1474"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589"/>
    <w:rsid w:val="00050CB9"/>
    <w:rsid w:val="00073961"/>
    <w:rsid w:val="000802AF"/>
    <w:rsid w:val="0013625F"/>
    <w:rsid w:val="00157390"/>
    <w:rsid w:val="001642EB"/>
    <w:rsid w:val="001E40A0"/>
    <w:rsid w:val="0020208B"/>
    <w:rsid w:val="00232E03"/>
    <w:rsid w:val="00234331"/>
    <w:rsid w:val="00243220"/>
    <w:rsid w:val="00274694"/>
    <w:rsid w:val="00296C57"/>
    <w:rsid w:val="00297701"/>
    <w:rsid w:val="002C4B1C"/>
    <w:rsid w:val="0031717F"/>
    <w:rsid w:val="003404A7"/>
    <w:rsid w:val="00341A5E"/>
    <w:rsid w:val="00394523"/>
    <w:rsid w:val="003B13B1"/>
    <w:rsid w:val="003D1887"/>
    <w:rsid w:val="003D3AF4"/>
    <w:rsid w:val="003E2B54"/>
    <w:rsid w:val="00415E4E"/>
    <w:rsid w:val="004237DC"/>
    <w:rsid w:val="0046638B"/>
    <w:rsid w:val="004774EF"/>
    <w:rsid w:val="00490A01"/>
    <w:rsid w:val="004D103D"/>
    <w:rsid w:val="004D24B8"/>
    <w:rsid w:val="004D4492"/>
    <w:rsid w:val="004E3313"/>
    <w:rsid w:val="004F52A1"/>
    <w:rsid w:val="00502663"/>
    <w:rsid w:val="005062D4"/>
    <w:rsid w:val="0052379D"/>
    <w:rsid w:val="0054303D"/>
    <w:rsid w:val="005472D2"/>
    <w:rsid w:val="005820C7"/>
    <w:rsid w:val="00583DB4"/>
    <w:rsid w:val="005C4233"/>
    <w:rsid w:val="00646813"/>
    <w:rsid w:val="00672120"/>
    <w:rsid w:val="006766C0"/>
    <w:rsid w:val="006A5110"/>
    <w:rsid w:val="006A672A"/>
    <w:rsid w:val="006E0171"/>
    <w:rsid w:val="006E7A9B"/>
    <w:rsid w:val="006F6CBB"/>
    <w:rsid w:val="00722FCC"/>
    <w:rsid w:val="007F1798"/>
    <w:rsid w:val="008027ED"/>
    <w:rsid w:val="0083321D"/>
    <w:rsid w:val="008A0AC0"/>
    <w:rsid w:val="008C25CD"/>
    <w:rsid w:val="008F2FCD"/>
    <w:rsid w:val="008F42F6"/>
    <w:rsid w:val="00910B6C"/>
    <w:rsid w:val="00915C55"/>
    <w:rsid w:val="0092549E"/>
    <w:rsid w:val="00984D33"/>
    <w:rsid w:val="009A0EDD"/>
    <w:rsid w:val="009B18E0"/>
    <w:rsid w:val="009C22B3"/>
    <w:rsid w:val="009E0E05"/>
    <w:rsid w:val="00AA17A4"/>
    <w:rsid w:val="00AA744B"/>
    <w:rsid w:val="00AC055F"/>
    <w:rsid w:val="00B11802"/>
    <w:rsid w:val="00B20E1D"/>
    <w:rsid w:val="00B24234"/>
    <w:rsid w:val="00B47EBC"/>
    <w:rsid w:val="00B51589"/>
    <w:rsid w:val="00B64FEB"/>
    <w:rsid w:val="00BC6276"/>
    <w:rsid w:val="00C5257B"/>
    <w:rsid w:val="00C54715"/>
    <w:rsid w:val="00C55F4B"/>
    <w:rsid w:val="00CC7C83"/>
    <w:rsid w:val="00D62573"/>
    <w:rsid w:val="00D9315D"/>
    <w:rsid w:val="00DA51A2"/>
    <w:rsid w:val="00DB04DB"/>
    <w:rsid w:val="00E01BB6"/>
    <w:rsid w:val="00E0232B"/>
    <w:rsid w:val="00E02586"/>
    <w:rsid w:val="00E3097F"/>
    <w:rsid w:val="00E3781D"/>
    <w:rsid w:val="00E73277"/>
    <w:rsid w:val="00E868C8"/>
    <w:rsid w:val="00E9374A"/>
    <w:rsid w:val="00EA4897"/>
    <w:rsid w:val="00EC769E"/>
    <w:rsid w:val="00ED70B2"/>
    <w:rsid w:val="00EF147D"/>
    <w:rsid w:val="00F44291"/>
    <w:rsid w:val="00F46B07"/>
    <w:rsid w:val="00F53BA0"/>
    <w:rsid w:val="00F714DA"/>
    <w:rsid w:val="00F927AE"/>
    <w:rsid w:val="00F968C6"/>
    <w:rsid w:val="00FB1DB1"/>
    <w:rsid w:val="0A6C6BF2"/>
    <w:rsid w:val="0D767261"/>
    <w:rsid w:val="0FE52AC8"/>
    <w:rsid w:val="14784391"/>
    <w:rsid w:val="14C232F3"/>
    <w:rsid w:val="2A8D0649"/>
    <w:rsid w:val="47CD7A8C"/>
    <w:rsid w:val="4A4E1344"/>
    <w:rsid w:val="4C116048"/>
    <w:rsid w:val="4E831260"/>
    <w:rsid w:val="595F1D38"/>
    <w:rsid w:val="6BA80891"/>
    <w:rsid w:val="71E40A6B"/>
    <w:rsid w:val="73DA451F"/>
    <w:rsid w:val="74D44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2"/>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link w:val="13"/>
    <w:qFormat/>
    <w:uiPriority w:val="1"/>
    <w:pPr>
      <w:spacing w:before="102"/>
      <w:ind w:left="112"/>
    </w:pPr>
    <w:rPr>
      <w:rFonts w:ascii="Calibri" w:hAnsi="Calibri" w:eastAsia="宋体" w:cs="Calibri"/>
      <w:sz w:val="28"/>
      <w:szCs w:val="2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100" w:beforeAutospacing="1" w:after="100" w:afterAutospacing="1"/>
      <w:jc w:val="left"/>
    </w:pPr>
    <w:rPr>
      <w:rFonts w:cs="Times New Roman"/>
      <w:kern w:val="0"/>
      <w:sz w:val="24"/>
    </w:rPr>
  </w:style>
  <w:style w:type="table" w:styleId="9">
    <w:name w:val="Table Grid"/>
    <w:basedOn w:val="8"/>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character" w:customStyle="1" w:styleId="12">
    <w:name w:val="标题 2 字符"/>
    <w:basedOn w:val="10"/>
    <w:link w:val="2"/>
    <w:semiHidden/>
    <w:qFormat/>
    <w:uiPriority w:val="0"/>
    <w:rPr>
      <w:rFonts w:asciiTheme="majorHAnsi" w:hAnsiTheme="majorHAnsi" w:eastAsiaTheme="majorEastAsia" w:cstheme="majorBidi"/>
      <w:b/>
      <w:bCs/>
      <w:kern w:val="2"/>
      <w:sz w:val="32"/>
      <w:szCs w:val="32"/>
    </w:rPr>
  </w:style>
  <w:style w:type="character" w:customStyle="1" w:styleId="13">
    <w:name w:val="正文文本 字符"/>
    <w:basedOn w:val="10"/>
    <w:link w:val="4"/>
    <w:qFormat/>
    <w:uiPriority w:val="1"/>
    <w:rPr>
      <w:rFonts w:ascii="Calibri" w:hAnsi="Calibri" w:cs="Calibri"/>
      <w:kern w:val="2"/>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4EE0F1-D159-4D2E-A177-A94FDF4E570D}">
  <ds:schemaRefs/>
</ds:datastoreItem>
</file>

<file path=docProps/app.xml><?xml version="1.0" encoding="utf-8"?>
<Properties xmlns="http://schemas.openxmlformats.org/officeDocument/2006/extended-properties" xmlns:vt="http://schemas.openxmlformats.org/officeDocument/2006/docPropsVTypes">
  <Template>Normal</Template>
  <Pages>22</Pages>
  <Words>1692</Words>
  <Characters>9646</Characters>
  <Lines>80</Lines>
  <Paragraphs>22</Paragraphs>
  <TotalTime>12</TotalTime>
  <ScaleCrop>false</ScaleCrop>
  <LinksUpToDate>false</LinksUpToDate>
  <CharactersWithSpaces>11316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2022-01-20T05:32:00Z</dcterms:created>
  <dc:creator>Administrator</dc:creator>
  <cp:lastModifiedBy>スイカ</cp:lastModifiedBy>
  <cp:lastPrinted>2021-11-26T01:06:00Z</cp:lastPrinted>
  <dcterms:modified xsi:type="dcterms:W3CDTF">2022-01-26T07:08:13Z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D49AB0253468431DA0C5CAAF0EFB7DCB</vt:lpwstr>
  </property>
</Properties>
</file>